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0"/>
        <w:rPr>
          <w:rFonts w:cs="Tahoma"/>
          <w:b/>
          <w:bCs/>
          <w:color w:val="auto"/>
        </w:rPr>
      </w:pPr>
      <w:bookmarkStart w:id="0" w:name="_GoBack"/>
      <w:bookmarkEnd w:id="0"/>
      <w:r>
        <w:rPr>
          <w:rFonts w:cs="Tahoma"/>
          <w:b/>
          <w:bCs/>
          <w:color w:val="auto"/>
        </w:rPr>
        <w:t>ДЕПАРТАМЕНТ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АДМИНИСТРАЦИИ ВЛАДИМИРСКОЙ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b/>
          <w:bCs/>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ПОСТАНОВЛЕНИЕ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от 21 ноября 2019 г.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b/>
          <w:bCs/>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ОБ УСТАНОВЛЕНИИ СТАНДАРТИЗИРОВАННЫХ ТАРИФНЫХ СТАВОК,</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СТАВОК ЗА ЕДИНИЦУ МАКСИМАЛЬНОЙ МОЩНОСТИ И ФОРМУЛ ПЛАТЫ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ЗА ТЕХНОЛОГИЧЕСКОЕ ПРИСОЕДИНЕНИЕ К ЭЛЕКТРИЧЕСКИМ СЕТЯМ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bl>
      <w:tblPr>
        <w:tblW w:w="5000" w:type="pct"/>
        <w:jc w:val="center"/>
        <w:tblLayout w:type="fixed"/>
        <w:tblCellMar>
          <w:top w:w="113" w:type="dxa"/>
          <w:left w:w="113" w:type="dxa"/>
          <w:bottom w:w="113" w:type="dxa"/>
          <w:right w:w="113" w:type="dxa"/>
        </w:tblCellMar>
        <w:tblLook w:val="0000"/>
      </w:tblPr>
      <w:tblGrid>
        <w:gridCol w:w="9580"/>
      </w:tblGrid>
      <w:tr w:rsidR="00802EE4">
        <w:trPr>
          <w:jc w:val="center"/>
        </w:trPr>
        <w:tc>
          <w:tcPr>
            <w:tcW w:w="5000" w:type="pct"/>
            <w:tcBorders>
              <w:left w:val="single" w:sz="24" w:space="0" w:color="CED3F1"/>
              <w:right w:val="single" w:sz="24" w:space="0" w:color="F4F3F8"/>
            </w:tcBorders>
            <w:shd w:val="clear" w:color="auto" w:fill="F4F3F8"/>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Список изменяющих документов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 xml:space="preserve">(в ред. </w:t>
            </w:r>
            <w:hyperlink r:id="rId8" w:history="1">
              <w:r>
                <w:rPr>
                  <w:rFonts w:cs="Tahoma"/>
                  <w:color w:val="0000FF"/>
                </w:rPr>
                <w:t>постановления</w:t>
              </w:r>
            </w:hyperlink>
            <w:r>
              <w:rPr>
                <w:rFonts w:cs="Tahoma"/>
                <w:color w:val="392C69"/>
              </w:rPr>
              <w:t xml:space="preserve"> департамента цен и тарифов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администрации Владимирской области</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от 26.12.2019 N 53/8)</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 xml:space="preserve">В соответствии с Федеральным </w:t>
      </w:r>
      <w:hyperlink r:id="rId9" w:history="1">
        <w:r>
          <w:rPr>
            <w:rFonts w:cs="Tahoma"/>
            <w:color w:val="0000FF"/>
          </w:rPr>
          <w:t>законом</w:t>
        </w:r>
      </w:hyperlink>
      <w:r>
        <w:rPr>
          <w:rFonts w:cs="Tahoma"/>
          <w:color w:val="auto"/>
        </w:rPr>
        <w:t xml:space="preserve"> от 26 марта 2003 г. N 35-ФЗ "Об электроэнергетике", </w:t>
      </w:r>
      <w:hyperlink r:id="rId10" w:history="1">
        <w:r>
          <w:rPr>
            <w:rFonts w:cs="Tahoma"/>
            <w:color w:val="0000FF"/>
          </w:rPr>
          <w:t>постановлением</w:t>
        </w:r>
      </w:hyperlink>
      <w:r>
        <w:rPr>
          <w:rFonts w:cs="Tahoma"/>
          <w:color w:val="auto"/>
        </w:rPr>
        <w:t xml:space="preserve"> Правительства РФ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Методическими </w:t>
      </w:r>
      <w:hyperlink r:id="rId11" w:history="1">
        <w:r>
          <w:rPr>
            <w:rFonts w:cs="Tahoma"/>
            <w:color w:val="0000FF"/>
          </w:rPr>
          <w:t>указаниями</w:t>
        </w:r>
      </w:hyperlink>
      <w:r>
        <w:rPr>
          <w:rFonts w:cs="Tahoma"/>
          <w:color w:val="auto"/>
        </w:rPr>
        <w:t xml:space="preserve"> по определению размера платы за технологическое присоединение к электрическим сетям, утвержденными приказом ФАС России от 29.08.2017 N 1135/17, Методическими </w:t>
      </w:r>
      <w:hyperlink r:id="rId12" w:history="1">
        <w:r>
          <w:rPr>
            <w:rFonts w:cs="Tahoma"/>
            <w:color w:val="0000FF"/>
          </w:rPr>
          <w:t>указаниями</w:t>
        </w:r>
      </w:hyperlink>
      <w:r>
        <w:rPr>
          <w:rFonts w:cs="Tahoma"/>
          <w:color w:val="auto"/>
        </w:rPr>
        <w:t xml:space="preserve">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N 215-э/1, на основании протокола заседания правления департамента цен и тарифов администрации области от 21.11.2019 N 42 департамент цен и тарифов администрации области постановляет:</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1. Установить единые для всех территориальных сетевых организаций Владимирской области стандартизированные тарифные ставки, в том числе для временных категорий заявителей, определяющие величину платы за технологическое присоединение к электрическим сетям территориальных сетевых организаций, согласно </w:t>
      </w:r>
      <w:hyperlink w:anchor="Par40" w:history="1">
        <w:r>
          <w:rPr>
            <w:rFonts w:cs="Tahoma"/>
            <w:color w:val="0000FF"/>
          </w:rPr>
          <w:t>приложениям N 1</w:t>
        </w:r>
      </w:hyperlink>
      <w:r>
        <w:rPr>
          <w:rFonts w:cs="Tahoma"/>
          <w:color w:val="auto"/>
        </w:rPr>
        <w:t xml:space="preserve"> и </w:t>
      </w:r>
      <w:hyperlink w:anchor="Par95" w:history="1">
        <w:r>
          <w:rPr>
            <w:rFonts w:cs="Tahoma"/>
            <w:color w:val="0000FF"/>
          </w:rPr>
          <w:t>2</w:t>
        </w:r>
      </w:hyperlink>
      <w:r>
        <w:rPr>
          <w:rFonts w:cs="Tahoma"/>
          <w:color w:val="auto"/>
        </w:rPr>
        <w:t>.</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2. Установить единые для всех территориальных сетевых организаций Владимирской области </w:t>
      </w:r>
      <w:hyperlink w:anchor="Par754" w:history="1">
        <w:r>
          <w:rPr>
            <w:rFonts w:cs="Tahoma"/>
            <w:color w:val="0000FF"/>
          </w:rPr>
          <w:t>ставки</w:t>
        </w:r>
      </w:hyperlink>
      <w:r>
        <w:rPr>
          <w:rFonts w:cs="Tahoma"/>
          <w:color w:val="auto"/>
        </w:rPr>
        <w:t xml:space="preserve"> за единицу максимальной мощности за технологическое присоединение к электрическим сетям согласно приложению N 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3. Установить </w:t>
      </w:r>
      <w:hyperlink w:anchor="Par806" w:history="1">
        <w:r>
          <w:rPr>
            <w:rFonts w:cs="Tahoma"/>
            <w:color w:val="0000FF"/>
          </w:rPr>
          <w:t>формулы</w:t>
        </w:r>
      </w:hyperlink>
      <w:r>
        <w:rPr>
          <w:rFonts w:cs="Tahoma"/>
          <w:color w:val="auto"/>
        </w:rPr>
        <w:t xml:space="preserve"> платы за технологическое присоединение к электрическим сетям для всех территориальных сетевых организаций Владимирской области согласно приложению N 4.</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4. Утвердить выпадающие </w:t>
      </w:r>
      <w:hyperlink w:anchor="Par865" w:history="1">
        <w:r>
          <w:rPr>
            <w:rFonts w:cs="Tahoma"/>
            <w:color w:val="0000FF"/>
          </w:rPr>
          <w:t>доходы</w:t>
        </w:r>
      </w:hyperlink>
      <w:r>
        <w:rPr>
          <w:rFonts w:cs="Tahoma"/>
          <w:color w:val="auto"/>
        </w:rPr>
        <w:t>, связанные с осуществлением технологического присоединения к электрическим сетям территориальных сетевых организаций Владимирской области, не включаемые в плату за технологическое присоединение, согласно приложению N 5.</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5. Поручить всем территориальным сетевым организациям Владимирской области представлять в департамент цен и тарифов администрации области ежеквартальный отчет о доходах и расходах, связанных с деятельностью по технологическому присоединению, и об объемах фактически присоединенной мощности.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lastRenderedPageBreak/>
        <w:t>6. Признать утратившими силу:</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3" w:history="1">
        <w:r>
          <w:rPr>
            <w:rFonts w:cs="Tahoma"/>
            <w:color w:val="0000FF"/>
          </w:rPr>
          <w:t>постановление</w:t>
        </w:r>
      </w:hyperlink>
      <w:r>
        <w:rPr>
          <w:rFonts w:cs="Tahoma"/>
          <w:color w:val="auto"/>
        </w:rPr>
        <w:t xml:space="preserve"> департамента цен и тарифов администрации области от 15.11.2018 N 44/3 "Об установлении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4" w:history="1">
        <w:r>
          <w:rPr>
            <w:rFonts w:cs="Tahoma"/>
            <w:color w:val="0000FF"/>
          </w:rPr>
          <w:t>постановление</w:t>
        </w:r>
      </w:hyperlink>
      <w:r>
        <w:rPr>
          <w:rFonts w:cs="Tahoma"/>
          <w:color w:val="auto"/>
        </w:rPr>
        <w:t xml:space="preserve"> департамента цен и тарифов администрации области от 14.02.2019 N 5/4 "О внесении изменений в отдельные постановления департамента цен и тарифов администрации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5" w:history="1">
        <w:r>
          <w:rPr>
            <w:rFonts w:cs="Tahoma"/>
            <w:color w:val="0000FF"/>
          </w:rPr>
          <w:t>пункт 4</w:t>
        </w:r>
      </w:hyperlink>
      <w:r>
        <w:rPr>
          <w:rFonts w:cs="Tahoma"/>
          <w:color w:val="auto"/>
        </w:rPr>
        <w:t xml:space="preserve"> постановления департамента цен и тарифов администрации области от 21.03.2019 N 11/11 "О внесении изменений в отдельные постановления департамента цен и тарифов администрации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6" w:history="1">
        <w:r>
          <w:rPr>
            <w:rFonts w:cs="Tahoma"/>
            <w:color w:val="0000FF"/>
          </w:rPr>
          <w:t>постановление</w:t>
        </w:r>
      </w:hyperlink>
      <w:r>
        <w:rPr>
          <w:rFonts w:cs="Tahoma"/>
          <w:color w:val="auto"/>
        </w:rPr>
        <w:t xml:space="preserve"> департамента цен и тарифов администрации области от 04.04.2019 N 14/1 "О внесении изменения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7" w:history="1">
        <w:r>
          <w:rPr>
            <w:rFonts w:cs="Tahoma"/>
            <w:color w:val="0000FF"/>
          </w:rPr>
          <w:t>постановление</w:t>
        </w:r>
      </w:hyperlink>
      <w:r>
        <w:rPr>
          <w:rFonts w:cs="Tahoma"/>
          <w:color w:val="auto"/>
        </w:rPr>
        <w:t xml:space="preserve"> департамента цен и тарифов администрации области от 16.05.2019 N 19/1 "О внесении изменений в постановление департамента цен и тарифов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8" w:history="1">
        <w:r>
          <w:rPr>
            <w:rFonts w:cs="Tahoma"/>
            <w:color w:val="0000FF"/>
          </w:rPr>
          <w:t>постановление</w:t>
        </w:r>
      </w:hyperlink>
      <w:r>
        <w:rPr>
          <w:rFonts w:cs="Tahoma"/>
          <w:color w:val="auto"/>
        </w:rPr>
        <w:t xml:space="preserve"> департамента цен и тарифов администрации области от 13.06.2019 N 21/1 "О внесении изменений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19" w:history="1">
        <w:r>
          <w:rPr>
            <w:rFonts w:cs="Tahoma"/>
            <w:color w:val="0000FF"/>
          </w:rPr>
          <w:t>постановление</w:t>
        </w:r>
      </w:hyperlink>
      <w:r>
        <w:rPr>
          <w:rFonts w:cs="Tahoma"/>
          <w:color w:val="auto"/>
        </w:rPr>
        <w:t xml:space="preserve"> департамента цен и тарифов администрации области от 13.08.2019 N 28/1 "О внесении изменений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 </w:t>
      </w:r>
      <w:hyperlink r:id="rId20" w:history="1">
        <w:r>
          <w:rPr>
            <w:rFonts w:cs="Tahoma"/>
            <w:color w:val="0000FF"/>
          </w:rPr>
          <w:t>постановление</w:t>
        </w:r>
      </w:hyperlink>
      <w:r>
        <w:rPr>
          <w:rFonts w:cs="Tahoma"/>
          <w:color w:val="auto"/>
        </w:rPr>
        <w:t xml:space="preserve"> департамента цен и тарифов администрации области от 17.10.2019 N 37/2 "О внесении изменений в постановление департамента цен и тарифов администрации области от 15.11.2018 N 44/3".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7. Настоящее постановление действует с 01.01.2020 и подлежит официальному опубликованию в средствах массовой информации.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Директор</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02EE4" w:rsidRDefault="00441AA6" w:rsidP="00441A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М.С.НОВОСЕЛОВА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bookmarkStart w:id="1" w:name="Par40"/>
      <w:bookmarkEnd w:id="1"/>
      <w:r>
        <w:rPr>
          <w:rFonts w:cs="Tahoma"/>
          <w:color w:val="auto"/>
        </w:rPr>
        <w:t>Приложение N 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b/>
          <w:bCs/>
          <w:color w:val="auto"/>
        </w:rPr>
      </w:pPr>
      <w:r>
        <w:rPr>
          <w:rFonts w:cs="Tahoma"/>
          <w:b/>
          <w:bCs/>
          <w:color w:val="auto"/>
        </w:rPr>
        <w:t>Единые стандартизированные тарифные 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применяемые для расчета платы за технологическое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присоединение к электрическим сетям заявителей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без НДС (в ценах 2020 г.)</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tblPr>
      <w:tblGrid>
        <w:gridCol w:w="624"/>
        <w:gridCol w:w="6576"/>
        <w:gridCol w:w="1871"/>
      </w:tblGrid>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Диапазон присоединяемой мощности</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Руб. за одно присоединение</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Подготовка и выдача сетевой организацией технических условий Заявителю (ТУ)</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4984,65</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Проверка сетевой организацией выполнения Заявителем технических условий</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17987,81</w:t>
            </w:r>
          </w:p>
        </w:tc>
      </w:tr>
      <w:tr w:rsidR="00802EE4">
        <w:tc>
          <w:tcPr>
            <w:tcW w:w="7200"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Итого</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22972,46</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 расчете платы за технологическое присоединение для определения диапазона мощности в расчет принимается вновь присоединяемая мощность (без учета ранее присоединенной мощности).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b/>
          <w:bCs/>
          <w:color w:val="auto"/>
        </w:rPr>
      </w:pPr>
      <w:r>
        <w:rPr>
          <w:rFonts w:cs="Tahoma"/>
          <w:b/>
          <w:bCs/>
          <w:color w:val="auto"/>
        </w:rPr>
        <w:t>Единые стандартизированные тарифные 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применяемые для расчета платы за технологическое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присоединение к электрическим сетям заявителей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для временных категорий заявителей, без НДС</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(в ценах 2020 г.)</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tblPr>
      <w:tblGrid>
        <w:gridCol w:w="624"/>
        <w:gridCol w:w="6576"/>
        <w:gridCol w:w="1871"/>
      </w:tblGrid>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Диапазон присоединяемой мощности</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Руб. за одно присоединение</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Подготовка и выдача сетевой организацией технических условий Заявителю (ТУ)</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4984,65</w:t>
            </w:r>
          </w:p>
        </w:tc>
      </w:tr>
      <w:tr w:rsidR="00802EE4">
        <w:tc>
          <w:tcPr>
            <w:tcW w:w="62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w:t>
            </w:r>
          </w:p>
        </w:tc>
        <w:tc>
          <w:tcPr>
            <w:tcW w:w="657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Проверка сетевой организацией выполнения Заявителем технических условий</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17987,81</w:t>
            </w:r>
          </w:p>
        </w:tc>
      </w:tr>
      <w:tr w:rsidR="00802EE4">
        <w:tc>
          <w:tcPr>
            <w:tcW w:w="7200"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Итого</w:t>
            </w:r>
          </w:p>
        </w:tc>
        <w:tc>
          <w:tcPr>
            <w:tcW w:w="1871"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22972,46</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 расчете платы за технологическое присоединение для определения диапазона мощности в расчет принимается вновь присоединяемая мощность (без учета ранее присоединенной мощности).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2</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21FFF" w:rsidRDefault="00802EE4" w:rsidP="00441A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2" w:name="Par95"/>
      <w:bookmarkEnd w:id="2"/>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СТАНДАРТИЗИРОВАННЫЕ 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ПРИМЕНЯЕМЫЕ ДЛЯ РАСЧЕТА ПЛАТЫ ЗА ТЕХНОЛОГИЧЕСКОЕ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ПРИСОЕДИНЕНИЕ УСТРОЙСТВ К ЭЛЕКТРИЧЕСКИМ СЕТЯМ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(С2, С3, С4, С5, С7), БЕЗ НДС (В ЦЕНАХ 2020 Г.)</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bl>
      <w:tblPr>
        <w:tblW w:w="5000" w:type="pct"/>
        <w:jc w:val="center"/>
        <w:tblLayout w:type="fixed"/>
        <w:tblCellMar>
          <w:top w:w="113" w:type="dxa"/>
          <w:left w:w="113" w:type="dxa"/>
          <w:bottom w:w="113" w:type="dxa"/>
          <w:right w:w="113" w:type="dxa"/>
        </w:tblCellMar>
        <w:tblLook w:val="0000"/>
      </w:tblPr>
      <w:tblGrid>
        <w:gridCol w:w="9580"/>
      </w:tblGrid>
      <w:tr w:rsidR="00802EE4">
        <w:trPr>
          <w:jc w:val="center"/>
        </w:trPr>
        <w:tc>
          <w:tcPr>
            <w:tcW w:w="5000" w:type="pct"/>
            <w:tcBorders>
              <w:left w:val="single" w:sz="24" w:space="0" w:color="CED3F1"/>
              <w:right w:val="single" w:sz="24" w:space="0" w:color="F4F3F8"/>
            </w:tcBorders>
            <w:shd w:val="clear" w:color="auto" w:fill="F4F3F8"/>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Список изменяющих документов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 xml:space="preserve">(в ред. </w:t>
            </w:r>
            <w:hyperlink r:id="rId21" w:history="1">
              <w:r>
                <w:rPr>
                  <w:rFonts w:cs="Tahoma"/>
                  <w:color w:val="0000FF"/>
                </w:rPr>
                <w:t>постановления</w:t>
              </w:r>
            </w:hyperlink>
            <w:r>
              <w:rPr>
                <w:rFonts w:cs="Tahoma"/>
                <w:color w:val="392C69"/>
              </w:rPr>
              <w:t xml:space="preserve"> департамента цен и тарифов</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администрации Владимирской области</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392C69"/>
              </w:rPr>
            </w:pPr>
            <w:r>
              <w:rPr>
                <w:rFonts w:cs="Tahoma"/>
                <w:color w:val="392C69"/>
              </w:rPr>
              <w:t>от 26.12.2019 N 53/8)</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tblPr>
      <w:tblGrid>
        <w:gridCol w:w="907"/>
        <w:gridCol w:w="2494"/>
        <w:gridCol w:w="1417"/>
        <w:gridCol w:w="1417"/>
        <w:gridCol w:w="1417"/>
        <w:gridCol w:w="1417"/>
      </w:tblGrid>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N</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Стандартизированные тарифные ставки</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0,4 кВ</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6 - 10 кВ</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 кВ</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Уровень напряжения</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110 кВ</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С2 - стандартизированная тарифная ставка на покрытие расходов сетевой организации на строительство воздушных линий электропередачи</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воздушных линий в одноцепном исполнении с установкой опор,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723594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762898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1053099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8419167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1238384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1829809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1161633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1606484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5457458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1340602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1443033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1395387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8240820</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воздушных линий в одноцепном исполнении по существующим опорам,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548082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404886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343002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487152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Прокладка воздушных линий в </w:t>
            </w:r>
            <w:proofErr w:type="spellStart"/>
            <w:r>
              <w:rPr>
                <w:rFonts w:cs="Tahoma"/>
                <w:color w:val="auto"/>
              </w:rPr>
              <w:t>двухцепном</w:t>
            </w:r>
            <w:proofErr w:type="spellEnd"/>
            <w:r>
              <w:rPr>
                <w:rFonts w:cs="Tahoma"/>
                <w:color w:val="auto"/>
              </w:rPr>
              <w:t xml:space="preserve"> исполнении с установкой опор,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2693600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С3 - стандартизированная тарифная ставка на покрытие расходов сетевой организации на строительство кабельных линий электропередачи</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траншее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691579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690054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1370929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869639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1771138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1105372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1785681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1083098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1904104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1541792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2093562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1702007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2371370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1549578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2641236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3.1.9.</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1742959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3322564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69" w:type="dxa"/>
            <w:gridSpan w:val="6"/>
            <w:tcBorders>
              <w:top w:val="single" w:sz="4" w:space="0" w:color="auto"/>
              <w:left w:val="single" w:sz="4" w:space="0" w:color="auto"/>
              <w:right w:val="single" w:sz="4" w:space="0" w:color="auto"/>
            </w:tcBorders>
          </w:tcPr>
          <w:tbl>
            <w:tblPr>
              <w:tblW w:w="5000" w:type="pct"/>
              <w:jc w:val="center"/>
              <w:tblLayout w:type="fixed"/>
              <w:tblCellMar>
                <w:top w:w="113" w:type="dxa"/>
                <w:left w:w="113" w:type="dxa"/>
                <w:bottom w:w="113" w:type="dxa"/>
                <w:right w:w="113" w:type="dxa"/>
              </w:tblCellMar>
              <w:tblLook w:val="0000"/>
            </w:tblPr>
            <w:tblGrid>
              <w:gridCol w:w="8885"/>
            </w:tblGrid>
            <w:tr w:rsidR="00802EE4">
              <w:trPr>
                <w:jc w:val="center"/>
              </w:trPr>
              <w:tc>
                <w:tcPr>
                  <w:tcW w:w="5000" w:type="pct"/>
                  <w:tcBorders>
                    <w:top w:val="nil"/>
                    <w:left w:val="single" w:sz="24" w:space="0" w:color="CED3F1"/>
                    <w:bottom w:val="nil"/>
                    <w:right w:val="single" w:sz="24" w:space="0" w:color="F4F3F8"/>
                  </w:tcBorders>
                  <w:shd w:val="clear" w:color="auto" w:fill="F4F3F8"/>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392C69"/>
                    </w:rPr>
                  </w:pPr>
                  <w:r>
                    <w:rPr>
                      <w:rFonts w:cs="Tahoma"/>
                      <w:color w:val="392C69"/>
                    </w:rPr>
                    <w:t>КонсультантПлюс: примечание.</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392C69"/>
                    </w:rPr>
                  </w:pPr>
                  <w:r>
                    <w:rPr>
                      <w:rFonts w:cs="Tahoma"/>
                      <w:color w:val="392C69"/>
                    </w:rPr>
                    <w:t>Нумерация пунктов дана в соответствии с официальным текстом документа.</w:t>
                  </w:r>
                </w:p>
              </w:tc>
            </w:tr>
          </w:tbl>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392C69"/>
              </w:rPr>
            </w:pPr>
          </w:p>
        </w:tc>
      </w:tr>
      <w:tr w:rsidR="00802EE4">
        <w:tc>
          <w:tcPr>
            <w:tcW w:w="907" w:type="dxa"/>
            <w:tcBorders>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3.1.2.</w:t>
            </w:r>
          </w:p>
        </w:tc>
        <w:tc>
          <w:tcPr>
            <w:tcW w:w="8162" w:type="dxa"/>
            <w:gridSpan w:val="5"/>
            <w:tcBorders>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траншее (без благоустройства),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418749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1362083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1736697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999824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1078871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887557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2022251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1672823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1280509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двух КЛ в траншее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2154865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2312539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2629815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4569630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2811790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3377048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6743516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полиэтиленовой трубе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16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812093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930356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911430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1269389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1823993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3469939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1194837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2030471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1173606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2234492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2021377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2484192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1858268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2638571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3.4.9.</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1762250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3466855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в полиэтиленовой трубе (без благоустройства),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35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415222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1873836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1008359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526329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2186012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1449148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1385956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3023525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двух КЛ в полиэтиленовых трубах (с благоустройством),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2425826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2758533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2759006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4822558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3030338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3.6.5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3470517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6788717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Прокладка одной КЛ методом ГНБ, руб./км</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5454582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70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2784911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7569143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15083830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95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6985507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8726826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120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7517540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7900486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150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7911255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8127249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185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7053525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8468778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3.7.7.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сечение жилы до 240 мм</w:t>
            </w:r>
            <w:r>
              <w:rPr>
                <w:rFonts w:cs="Tahoma"/>
                <w:color w:val="auto"/>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7302785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8750297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4.</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С4 - стандартизированная тарифная ставка на покрытие расходов сетевой организации на строительство</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w:t>
            </w:r>
          </w:p>
        </w:tc>
        <w:tc>
          <w:tcPr>
            <w:tcW w:w="6745" w:type="dxa"/>
            <w:gridSpan w:val="4"/>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roofErr w:type="spellStart"/>
            <w:r>
              <w:rPr>
                <w:rFonts w:cs="Tahoma"/>
                <w:color w:val="auto"/>
              </w:rPr>
              <w:t>Реклоузеры</w:t>
            </w:r>
            <w:proofErr w:type="spellEnd"/>
            <w:r>
              <w:rPr>
                <w:rFonts w:cs="Tahoma"/>
                <w:color w:val="auto"/>
              </w:rPr>
              <w:t>, руб./шт.</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номинальным током от 500 А до 1000 А включительно</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2062434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Распределительные пункты, руб./шт.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4000 </w:t>
            </w:r>
            <w:proofErr w:type="spellStart"/>
            <w:r>
              <w:rPr>
                <w:rFonts w:cs="Tahoma"/>
                <w:color w:val="auto"/>
              </w:rPr>
              <w:t>кВА</w:t>
            </w:r>
            <w:proofErr w:type="spellEnd"/>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40272124</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Разъединители, руб./шт.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4000 </w:t>
            </w:r>
            <w:proofErr w:type="spellStart"/>
            <w:r>
              <w:rPr>
                <w:rFonts w:cs="Tahoma"/>
                <w:color w:val="auto"/>
              </w:rPr>
              <w:t>кВА</w:t>
            </w:r>
            <w:proofErr w:type="spellEnd"/>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412080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5.</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С5 - стандартизированная тарифная ставка на покрытие расходов сетевой организации на строительство трансформаторных подстанций</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блочных трансформаторных подстанций с одним трансформатором (все типы),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4231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блочных трансформаторных подстанций с двумя трансформаторами (все типы),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160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22757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17530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400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16068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10109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10629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5.2.6.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1250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6083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киосковых</w:t>
            </w:r>
            <w:proofErr w:type="spellEnd"/>
            <w:r>
              <w:rPr>
                <w:rFonts w:cs="Tahoma"/>
                <w:color w:val="auto"/>
              </w:rPr>
              <w:t xml:space="preserve"> трансформаторных подстанций с одним трансформатором (проходные),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40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20886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11596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13153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160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4811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4569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400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6238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5.3.7.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5468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киосковых</w:t>
            </w:r>
            <w:proofErr w:type="spellEnd"/>
            <w:r>
              <w:rPr>
                <w:rFonts w:cs="Tahoma"/>
                <w:color w:val="auto"/>
              </w:rPr>
              <w:t xml:space="preserve"> трансформаторных подстанций с одним трансформатором (тупиковые),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16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86065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25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31017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40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15698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8820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5.4.5.</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7008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5.4.6.</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160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8391</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5.4.7.</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250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4033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5.4.8.</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400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3572</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5.4.9.</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3529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5.4.10.</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2747</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5.5.</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киосковых</w:t>
            </w:r>
            <w:proofErr w:type="spellEnd"/>
            <w:r>
              <w:rPr>
                <w:rFonts w:cs="Tahoma"/>
                <w:color w:val="auto"/>
              </w:rPr>
              <w:t xml:space="preserve"> трансформаторных подстанций с двумя трансформаторами (все типы),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5.5.1.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630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3196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столбовой трансформаторной подстанции с одним трансформатором,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16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46938</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25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32449</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5.6.3.</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40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13295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5.6.4.</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8730</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5.7.</w:t>
            </w:r>
          </w:p>
        </w:tc>
        <w:tc>
          <w:tcPr>
            <w:tcW w:w="8162" w:type="dxa"/>
            <w:gridSpan w:val="5"/>
            <w:tcBorders>
              <w:top w:val="single" w:sz="4" w:space="0" w:color="auto"/>
              <w:left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мачтовых трансформаторных подстанций с одним трансформатором (все типы), руб./кВт</w:t>
            </w:r>
          </w:p>
        </w:tc>
      </w:tr>
      <w:tr w:rsidR="00802EE4">
        <w:tc>
          <w:tcPr>
            <w:tcW w:w="9069" w:type="dxa"/>
            <w:gridSpan w:val="6"/>
            <w:tcBorders>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r>
              <w:rPr>
                <w:rFonts w:cs="Tahoma"/>
                <w:color w:val="auto"/>
              </w:rPr>
              <w:t xml:space="preserve">(в ред. </w:t>
            </w:r>
            <w:hyperlink r:id="rId22" w:history="1">
              <w:r>
                <w:rPr>
                  <w:rFonts w:cs="Tahoma"/>
                  <w:color w:val="0000FF"/>
                </w:rPr>
                <w:t>постановления</w:t>
              </w:r>
            </w:hyperlink>
            <w:r>
              <w:rPr>
                <w:rFonts w:cs="Tahoma"/>
                <w:color w:val="auto"/>
              </w:rPr>
              <w:t xml:space="preserve"> департамента цен и тарифов администрации Владимирской области от 26.12.2019 N 53/8)</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5.7.1.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25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21763</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5.7.2.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1 </w:t>
            </w:r>
            <w:proofErr w:type="spellStart"/>
            <w:r>
              <w:rPr>
                <w:rFonts w:cs="Tahoma"/>
                <w:color w:val="auto"/>
              </w:rPr>
              <w:t>x</w:t>
            </w:r>
            <w:proofErr w:type="spellEnd"/>
            <w:r>
              <w:rPr>
                <w:rFonts w:cs="Tahoma"/>
                <w:color w:val="auto"/>
              </w:rPr>
              <w:t xml:space="preserve"> 63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7725</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outlineLvl w:val="1"/>
              <w:rPr>
                <w:rFonts w:cs="Tahoma"/>
                <w:color w:val="auto"/>
              </w:rPr>
            </w:pPr>
            <w:r>
              <w:rPr>
                <w:rFonts w:cs="Tahoma"/>
                <w:color w:val="auto"/>
              </w:rPr>
              <w:t>6.</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С7 - стандартизированная тарифная ставка на покрытие расходов сетевой организации на строительство центров питания, подстанций уровнем напряжения 35 кВ и выше (ПС)</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6.1.</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подстанций уровнем напряжения 35 кВ и выше (ПС),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6.1.1.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1 </w:t>
            </w:r>
            <w:proofErr w:type="spellStart"/>
            <w:r>
              <w:rPr>
                <w:rFonts w:cs="Tahoma"/>
                <w:color w:val="auto"/>
              </w:rPr>
              <w:t>x</w:t>
            </w:r>
            <w:proofErr w:type="spellEnd"/>
            <w:r>
              <w:rPr>
                <w:rFonts w:cs="Tahoma"/>
                <w:color w:val="auto"/>
              </w:rPr>
              <w:t xml:space="preserve"> 6300 </w:t>
            </w:r>
            <w:proofErr w:type="spellStart"/>
            <w:r>
              <w:rPr>
                <w:rFonts w:cs="Tahoma"/>
                <w:color w:val="auto"/>
              </w:rPr>
              <w:t>кВА</w:t>
            </w:r>
            <w:proofErr w:type="spellEnd"/>
            <w:r>
              <w:rPr>
                <w:rFonts w:cs="Tahoma"/>
                <w:color w:val="auto"/>
              </w:rPr>
              <w:t xml:space="preserve"> (110/35 кВ, с одним выключателем 110 кВ, количество ячеек 35 кВ до 14 шт.)</w:t>
            </w:r>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46735</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6.1.2.</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1 </w:t>
            </w:r>
            <w:proofErr w:type="spellStart"/>
            <w:r>
              <w:rPr>
                <w:rFonts w:cs="Tahoma"/>
                <w:color w:val="auto"/>
              </w:rPr>
              <w:t>x</w:t>
            </w:r>
            <w:proofErr w:type="spellEnd"/>
            <w:r>
              <w:rPr>
                <w:rFonts w:cs="Tahoma"/>
                <w:color w:val="auto"/>
              </w:rPr>
              <w:t xml:space="preserve"> 16000 </w:t>
            </w:r>
            <w:proofErr w:type="spellStart"/>
            <w:r>
              <w:rPr>
                <w:rFonts w:cs="Tahoma"/>
                <w:color w:val="auto"/>
              </w:rPr>
              <w:t>кВА</w:t>
            </w:r>
            <w:proofErr w:type="spellEnd"/>
            <w:r>
              <w:rPr>
                <w:rFonts w:cs="Tahoma"/>
                <w:color w:val="auto"/>
              </w:rPr>
              <w:t xml:space="preserve"> (110/10 кВ, с одним выключателем 110 кВ, количество ячеек 10 кВ до 10 шт.)</w:t>
            </w:r>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7721</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6.2.</w:t>
            </w:r>
          </w:p>
        </w:tc>
        <w:tc>
          <w:tcPr>
            <w:tcW w:w="8162" w:type="dxa"/>
            <w:gridSpan w:val="5"/>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распределительных трансформаторных подстанций с двумя трансформаторами, руб./кВт</w:t>
            </w:r>
          </w:p>
        </w:tc>
      </w:tr>
      <w:tr w:rsidR="00802EE4">
        <w:tc>
          <w:tcPr>
            <w:tcW w:w="90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6.2.1.</w:t>
            </w:r>
          </w:p>
        </w:tc>
        <w:tc>
          <w:tcPr>
            <w:tcW w:w="249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мощностью до 2 </w:t>
            </w:r>
            <w:proofErr w:type="spellStart"/>
            <w:r>
              <w:rPr>
                <w:rFonts w:cs="Tahoma"/>
                <w:color w:val="auto"/>
              </w:rPr>
              <w:t>x</w:t>
            </w:r>
            <w:proofErr w:type="spellEnd"/>
            <w:r>
              <w:rPr>
                <w:rFonts w:cs="Tahoma"/>
                <w:color w:val="auto"/>
              </w:rPr>
              <w:t xml:space="preserve"> 1000 </w:t>
            </w:r>
            <w:proofErr w:type="spellStart"/>
            <w:r>
              <w:rPr>
                <w:rFonts w:cs="Tahoma"/>
                <w:color w:val="auto"/>
              </w:rPr>
              <w:t>кВА</w:t>
            </w:r>
            <w:proofErr w:type="spellEnd"/>
          </w:p>
        </w:tc>
        <w:tc>
          <w:tcPr>
            <w:tcW w:w="283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13766</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c>
          <w:tcPr>
            <w:tcW w:w="141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Примечание: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стандартизированные ставки С2, С3, С4, С5, С7 применяются для случаев технологического присоединения на территориях городских населенных пунктов и территорий, не относящихся к территориям городских населенных пунктов.</w:t>
      </w:r>
    </w:p>
    <w:p w:rsidR="00802EE4" w:rsidRDefault="00802EE4" w:rsidP="00C82C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Для заявителей, осуществляющих технологическое присоединение своих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стандартизированные тарифные ставки С2, С3, С4, С5, С7 равны 0 (нулю).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3</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3" w:name="Par754"/>
      <w:bookmarkEnd w:id="3"/>
      <w:r>
        <w:rPr>
          <w:rFonts w:cs="Tahoma"/>
          <w:b/>
          <w:bCs/>
          <w:color w:val="auto"/>
        </w:rPr>
        <w:t>СТАВКИ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ПЛАТЫ ЗА ЕДИНИЦУ МАКСИМАЛЬНОЙ МОЩНОСТИ, РУБ./КВТ БЕЗ НДС</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(В ЦЕНАХ 2020 ГОДА)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bl>
      <w:tblPr>
        <w:tblW w:w="0" w:type="auto"/>
        <w:tblLayout w:type="fixed"/>
        <w:tblCellMar>
          <w:top w:w="102" w:type="dxa"/>
          <w:left w:w="62" w:type="dxa"/>
          <w:bottom w:w="102" w:type="dxa"/>
          <w:right w:w="62" w:type="dxa"/>
        </w:tblCellMar>
        <w:tblLook w:val="0000"/>
      </w:tblPr>
      <w:tblGrid>
        <w:gridCol w:w="1587"/>
        <w:gridCol w:w="4309"/>
        <w:gridCol w:w="1587"/>
        <w:gridCol w:w="1587"/>
      </w:tblGrid>
      <w:tr w:rsidR="00802EE4">
        <w:tc>
          <w:tcPr>
            <w:tcW w:w="1587"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Обозначение ставки</w:t>
            </w:r>
          </w:p>
        </w:tc>
        <w:tc>
          <w:tcPr>
            <w:tcW w:w="4309"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Наименование мероприятий</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Технологическое присоединение энергопринимающих устройств максимальной мощностью менее 8900 кВт и на уровне напряжения ниже 35 кВ</w:t>
            </w:r>
          </w:p>
        </w:tc>
      </w:tr>
      <w:tr w:rsidR="00802EE4">
        <w:tc>
          <w:tcPr>
            <w:tcW w:w="158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4309"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0,4 кВ</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6/10 кВ</w:t>
            </w:r>
          </w:p>
        </w:tc>
      </w:tr>
      <w:tr w:rsidR="00802EE4">
        <w:tc>
          <w:tcPr>
            <w:tcW w:w="158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4309"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более 150 кВт</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1.1.max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Подготовка и выдача сетевой организацией технических условий Заявителю</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235,44</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1.2.max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Проверка сетевой организацией выполнения Заявителем ТУ</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849,63</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2.max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воздушных линий</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12763,96</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5490,54</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3.max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кабельных линий</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12772,77</w:t>
            </w:r>
          </w:p>
        </w:tc>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8937,01</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4.max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Строительство </w:t>
            </w:r>
            <w:proofErr w:type="spellStart"/>
            <w:r>
              <w:rPr>
                <w:rFonts w:cs="Tahoma"/>
                <w:color w:val="auto"/>
              </w:rPr>
              <w:t>реклоузеров</w:t>
            </w:r>
            <w:proofErr w:type="spellEnd"/>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2512,87</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5.max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трансформаторных подстанций</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на уровне стандартизированных тарифных ставок С</w:t>
            </w:r>
            <w:r>
              <w:rPr>
                <w:rFonts w:cs="Tahoma"/>
                <w:color w:val="auto"/>
                <w:vertAlign w:val="subscript"/>
              </w:rPr>
              <w:t>5</w:t>
            </w:r>
          </w:p>
        </w:tc>
      </w:tr>
      <w:tr w:rsidR="00802EE4">
        <w:tc>
          <w:tcPr>
            <w:tcW w:w="158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w:t>
            </w:r>
            <w:r>
              <w:rPr>
                <w:rFonts w:cs="Tahoma"/>
                <w:color w:val="auto"/>
                <w:vertAlign w:val="subscript"/>
              </w:rPr>
              <w:t>7.max N</w:t>
            </w:r>
          </w:p>
        </w:tc>
        <w:tc>
          <w:tcPr>
            <w:tcW w:w="4309"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Строительство центров питания, подстанций уровнем напряжения 35 кВ и выше (ПС)</w:t>
            </w:r>
          </w:p>
        </w:tc>
        <w:tc>
          <w:tcPr>
            <w:tcW w:w="3174"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на уровне стандартизированных тарифных ставок С</w:t>
            </w:r>
            <w:r>
              <w:rPr>
                <w:rFonts w:cs="Tahoma"/>
                <w:color w:val="auto"/>
                <w:vertAlign w:val="subscript"/>
              </w:rPr>
              <w:t>7</w:t>
            </w:r>
          </w:p>
        </w:tc>
      </w:tr>
    </w:tbl>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Примечание: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ставки платы за единицу максимальной мощности, руб./кВт, применяются для случаев технологического присоединения на территориях городских населенных пунктов и территорий, не относящихся к территориям городских населенных пунктов.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Для заявителей, осуществляющих технологическое присоединение своих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ставки за единицу максимальной мощности по мероприятиям "последней мили" на планируемый период С</w:t>
      </w:r>
      <w:r>
        <w:rPr>
          <w:rFonts w:cs="Tahoma"/>
          <w:color w:val="auto"/>
          <w:vertAlign w:val="subscript"/>
        </w:rPr>
        <w:t>2.max</w:t>
      </w:r>
      <w:r>
        <w:rPr>
          <w:rFonts w:cs="Tahoma"/>
          <w:color w:val="auto"/>
        </w:rPr>
        <w:t>, С</w:t>
      </w:r>
      <w:r>
        <w:rPr>
          <w:rFonts w:cs="Tahoma"/>
          <w:color w:val="auto"/>
          <w:vertAlign w:val="subscript"/>
        </w:rPr>
        <w:t>3.max</w:t>
      </w:r>
      <w:r>
        <w:rPr>
          <w:rFonts w:cs="Tahoma"/>
          <w:color w:val="auto"/>
        </w:rPr>
        <w:t>, С</w:t>
      </w:r>
      <w:r>
        <w:rPr>
          <w:rFonts w:cs="Tahoma"/>
          <w:color w:val="auto"/>
          <w:vertAlign w:val="subscript"/>
        </w:rPr>
        <w:t>4.max</w:t>
      </w:r>
      <w:r>
        <w:rPr>
          <w:rFonts w:cs="Tahoma"/>
          <w:color w:val="auto"/>
        </w:rPr>
        <w:t>, С</w:t>
      </w:r>
      <w:r>
        <w:rPr>
          <w:rFonts w:cs="Tahoma"/>
          <w:color w:val="auto"/>
          <w:vertAlign w:val="subscript"/>
        </w:rPr>
        <w:t>5.max</w:t>
      </w:r>
      <w:r>
        <w:rPr>
          <w:rFonts w:cs="Tahoma"/>
          <w:color w:val="auto"/>
        </w:rPr>
        <w:t>, С</w:t>
      </w:r>
      <w:r>
        <w:rPr>
          <w:rFonts w:cs="Tahoma"/>
          <w:color w:val="auto"/>
          <w:vertAlign w:val="subscript"/>
        </w:rPr>
        <w:t>7.max</w:t>
      </w:r>
      <w:r>
        <w:rPr>
          <w:rFonts w:cs="Tahoma"/>
          <w:color w:val="auto"/>
        </w:rPr>
        <w:t xml:space="preserve"> равны 0 (нулю).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441AA6" w:rsidRDefault="00441AA6"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4</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4" w:name="Par806"/>
      <w:bookmarkEnd w:id="4"/>
      <w:r>
        <w:rPr>
          <w:rFonts w:cs="Tahoma"/>
          <w:b/>
          <w:bCs/>
          <w:color w:val="auto"/>
        </w:rPr>
        <w:t>ФОРМУЛЫ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ПЛАТЫ ЗА ТЕХНОЛОГИЧЕСКОЕ ПРИСОЕДИНЕНИЕ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 xml:space="preserve">Плата за технологическое присоединение в виде формулы утверждается регулирующим органом исходя из стандартизированных тарифных ставок и способа технологического присоединения к электрическим сетям сетевой организации и реализации соответствующих мероприятий, предусмотренных </w:t>
      </w:r>
      <w:hyperlink r:id="rId23" w:history="1">
        <w:r>
          <w:rPr>
            <w:rFonts w:cs="Tahoma"/>
            <w:color w:val="0000FF"/>
          </w:rPr>
          <w:t>подпунктом "б" пункта 16</w:t>
        </w:r>
      </w:hyperlink>
      <w:r>
        <w:rPr>
          <w:rFonts w:cs="Tahoma"/>
          <w:color w:val="auto"/>
        </w:rPr>
        <w:t xml:space="preserve"> Методических указаний, следующим образом: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а) если отсутствует необходимость реализации мероприятий "последней мили", то формула платы определяется как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w:t>
      </w:r>
      <w:hyperlink r:id="rId24" w:history="1">
        <w:r>
          <w:rPr>
            <w:rFonts w:cs="Tahoma"/>
            <w:color w:val="0000FF"/>
          </w:rPr>
          <w:t>пункте 16</w:t>
        </w:r>
      </w:hyperlink>
      <w:r>
        <w:rPr>
          <w:rFonts w:cs="Tahoma"/>
          <w:color w:val="auto"/>
        </w:rPr>
        <w:t xml:space="preserve"> Методических указаний (кроме </w:t>
      </w:r>
      <w:hyperlink r:id="rId25" w:history="1">
        <w:r>
          <w:rPr>
            <w:rFonts w:cs="Tahoma"/>
            <w:color w:val="0000FF"/>
          </w:rPr>
          <w:t>подпункта "б"</w:t>
        </w:r>
      </w:hyperlink>
      <w:r>
        <w:rPr>
          <w:rFonts w:cs="Tahoma"/>
          <w:color w:val="auto"/>
        </w:rPr>
        <w:t>)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bookmarkStart w:id="5" w:name="Par811"/>
      <w:bookmarkEnd w:id="5"/>
      <w:r>
        <w:rPr>
          <w:rFonts w:cs="Tahoma"/>
          <w:color w:val="auto"/>
        </w:rPr>
        <w:t>б) если при технологическом присоединении Заявителя согласно техническим условиям предусматривается мероприятие "последней мили" по прокладке воздушных и (или) кабельных линий, то формула платы определяется как сумма стандартизированной тарифной ставки (С1) и произведения стандартизированной тарифной ставки на покрытие расходов сетевой организации на строительство воздушных (С2) и (или) кабельных (С3) линий электропередачи на i-м уровне напряжения в зависимости способа выполнения работ (t) и суммарной протяженности воздушных и (или) кабельных линий (</w:t>
      </w:r>
      <w:proofErr w:type="spellStart"/>
      <w:r>
        <w:rPr>
          <w:rFonts w:cs="Tahoma"/>
          <w:color w:val="auto"/>
        </w:rPr>
        <w:t>Li</w:t>
      </w:r>
      <w:proofErr w:type="spellEnd"/>
      <w:r>
        <w:rPr>
          <w:rFonts w:cs="Tahoma"/>
          <w:color w:val="auto"/>
        </w:rPr>
        <w:t xml:space="preserve">, </w:t>
      </w:r>
      <w:proofErr w:type="spellStart"/>
      <w:r>
        <w:rPr>
          <w:rFonts w:cs="Tahoma"/>
          <w:color w:val="auto"/>
        </w:rPr>
        <w:t>t</w:t>
      </w:r>
      <w:proofErr w:type="spellEnd"/>
      <w:r>
        <w:rPr>
          <w:rFonts w:cs="Tahoma"/>
          <w:color w:val="auto"/>
        </w:rPr>
        <w:t>), строительство которых предусмотрено согласно выданным техническим условиям для технологического присоединения Заявителя;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если при технологическом присоединении Заявителя согласно техническим условиям предусматриваются мероприятия "последней мили" по строительству пунктов секционирования (</w:t>
      </w:r>
      <w:proofErr w:type="spellStart"/>
      <w:r>
        <w:rPr>
          <w:rFonts w:cs="Tahoma"/>
          <w:color w:val="auto"/>
        </w:rPr>
        <w:t>реклоузеров</w:t>
      </w:r>
      <w:proofErr w:type="spellEnd"/>
      <w:r>
        <w:rPr>
          <w:rFonts w:cs="Tahoma"/>
          <w:color w:val="auto"/>
        </w:rPr>
        <w:t xml:space="preserve">, распределительных пунктов, переключательных пунктов), трансформаторных подстанций (ТП), за исключением распределительных трансформаторных подстанций (РТП), распределительных трансформаторных подстанций (РТП) с уровнем напряжения до 35 кВ и на строительство центров питания, подстанций уровнем напряжения 35 кВ и выше (ПС), то формула платы определяется как сумма расходов, определенных в соответствии с </w:t>
      </w:r>
      <w:hyperlink w:anchor="Par811" w:history="1">
        <w:r>
          <w:rPr>
            <w:rFonts w:cs="Tahoma"/>
            <w:color w:val="0000FF"/>
          </w:rPr>
          <w:t>подпунктом "б"</w:t>
        </w:r>
      </w:hyperlink>
      <w:r>
        <w:rPr>
          <w:rFonts w:cs="Tahoma"/>
          <w:color w:val="auto"/>
        </w:rPr>
        <w:t xml:space="preserve"> настоящего пункта, произведения ставки С4(i, t) и количества пунктов секционирования (</w:t>
      </w:r>
      <w:proofErr w:type="spellStart"/>
      <w:r>
        <w:rPr>
          <w:rFonts w:cs="Tahoma"/>
          <w:color w:val="auto"/>
        </w:rPr>
        <w:t>реклоузеров</w:t>
      </w:r>
      <w:proofErr w:type="spellEnd"/>
      <w:r>
        <w:rPr>
          <w:rFonts w:cs="Tahoma"/>
          <w:color w:val="auto"/>
        </w:rPr>
        <w:t>, распределительных пунктов, переключательных пунктов) и произведения ставки С5(i, t) на i-м уровне напряжения в зависимости способа выполнения работ (t) и объема максимальной мощности (</w:t>
      </w:r>
      <w:proofErr w:type="spellStart"/>
      <w:r>
        <w:rPr>
          <w:rFonts w:cs="Tahoma"/>
          <w:color w:val="auto"/>
        </w:rPr>
        <w:t>Ni</w:t>
      </w:r>
      <w:proofErr w:type="spellEnd"/>
      <w:r>
        <w:rPr>
          <w:rFonts w:cs="Tahoma"/>
          <w:color w:val="auto"/>
        </w:rPr>
        <w:t xml:space="preserve">, </w:t>
      </w:r>
      <w:proofErr w:type="spellStart"/>
      <w:r>
        <w:rPr>
          <w:rFonts w:cs="Tahoma"/>
          <w:color w:val="auto"/>
        </w:rPr>
        <w:t>t</w:t>
      </w:r>
      <w:proofErr w:type="spellEnd"/>
      <w:r>
        <w:rPr>
          <w:rFonts w:cs="Tahoma"/>
          <w:color w:val="auto"/>
        </w:rPr>
        <w:t>), указанного Заявителем в заявке на технологическое присоединение;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г) если при технологическом присоединении Заявителя согласно техническим условиям срок выполнения мероприятий по технологическому присоединению предусмотрен на период больше одного года, то стоимость мероприятий, учитываемых в плате, рассчитанной в год подачи заявки, индексируется следующим образом: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- 50%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данного индекса используется индекс потребительских цен на соответствующий год) за половину периода, указанного в технических условиях, начиная с года, следующего за годом утверждения платы;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- 50%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данного индекса используется индекс потребительских цен на соответствующий год) за период, указанный в технических условиях, начиная с года, следующего за годом утверждения платы.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Размер платы для каждого присоединения рассчитывается сетевой организацией в соответствии с утвержденной формулой.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Стандартизированные тарифные ставки С2 и С3 применяются к протяженности линий электропередачи по трассе.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Плата за технологическое присоединение для Заявителей, присоединяющихся к электрическим сетям на уровне напряжения не ниже 35 кВ и максимальной мощности энергопринимающих устройств не менее 8900 кВт, и объектов по производству электрической энергии определяется регулирующим органом в соответствии с выданными техническими условиями в тыс. рублей по формуле: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proofErr w:type="spellStart"/>
      <w:r>
        <w:rPr>
          <w:rFonts w:cs="Tahoma"/>
          <w:color w:val="auto"/>
        </w:rPr>
        <w:t>Птп</w:t>
      </w:r>
      <w:proofErr w:type="spellEnd"/>
      <w:r>
        <w:rPr>
          <w:rFonts w:cs="Tahoma"/>
          <w:color w:val="auto"/>
        </w:rPr>
        <w:t xml:space="preserve"> = Р + </w:t>
      </w:r>
      <w:proofErr w:type="spellStart"/>
      <w:r>
        <w:rPr>
          <w:rFonts w:cs="Tahoma"/>
          <w:color w:val="auto"/>
        </w:rPr>
        <w:t>Ри</w:t>
      </w:r>
      <w:proofErr w:type="spellEnd"/>
      <w:r>
        <w:rPr>
          <w:rFonts w:cs="Tahoma"/>
          <w:color w:val="auto"/>
        </w:rPr>
        <w:t xml:space="preserve"> (тыс. руб.), где: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 xml:space="preserve">Р - стоимость мероприятий, перечисленных в </w:t>
      </w:r>
      <w:hyperlink r:id="rId26" w:history="1">
        <w:r>
          <w:rPr>
            <w:rFonts w:cs="Tahoma"/>
            <w:color w:val="0000FF"/>
          </w:rPr>
          <w:t>пункте 16</w:t>
        </w:r>
      </w:hyperlink>
      <w:r>
        <w:rPr>
          <w:rFonts w:cs="Tahoma"/>
          <w:color w:val="auto"/>
        </w:rPr>
        <w:t xml:space="preserve"> (за исключением </w:t>
      </w:r>
      <w:hyperlink r:id="rId27" w:history="1">
        <w:r>
          <w:rPr>
            <w:rFonts w:cs="Tahoma"/>
            <w:color w:val="0000FF"/>
          </w:rPr>
          <w:t>подпункта "б"</w:t>
        </w:r>
      </w:hyperlink>
      <w:r>
        <w:rPr>
          <w:rFonts w:cs="Tahoma"/>
          <w:color w:val="auto"/>
        </w:rPr>
        <w:t>)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proofErr w:type="spellStart"/>
      <w:r>
        <w:rPr>
          <w:rFonts w:cs="Tahoma"/>
          <w:color w:val="auto"/>
        </w:rPr>
        <w:t>Ри</w:t>
      </w:r>
      <w:proofErr w:type="spellEnd"/>
      <w:r>
        <w:rPr>
          <w:rFonts w:cs="Tahoma"/>
          <w:color w:val="auto"/>
        </w:rPr>
        <w:t xml:space="preserve"> - расходы на выполнение мероприятий "последней мили" (</w:t>
      </w:r>
      <w:hyperlink r:id="rId28" w:history="1">
        <w:r>
          <w:rPr>
            <w:rFonts w:cs="Tahoma"/>
            <w:color w:val="0000FF"/>
          </w:rPr>
          <w:t>подпункт "б" пункта 16</w:t>
        </w:r>
      </w:hyperlink>
      <w:r>
        <w:rPr>
          <w:rFonts w:cs="Tahoma"/>
          <w:color w:val="auto"/>
        </w:rPr>
        <w:t xml:space="preserve"> Методических указаний) согласно выданным техническим условиям, определяемые по формуле платы и стандартизированным тарифным ставкам на год, в котором устанавливается плата, в порядке, предусмотренном </w:t>
      </w:r>
      <w:hyperlink r:id="rId29" w:history="1">
        <w:r>
          <w:rPr>
            <w:rFonts w:cs="Tahoma"/>
            <w:color w:val="0000FF"/>
          </w:rPr>
          <w:t>пунктом 30</w:t>
        </w:r>
      </w:hyperlink>
      <w:r>
        <w:rPr>
          <w:rFonts w:cs="Tahoma"/>
          <w:color w:val="auto"/>
        </w:rPr>
        <w:t xml:space="preserve"> Методических указаний, за исключением случаев технологического присоединения объектов по производству электрической энергии к ЕНЭС.</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случае если стандартизированные тарифные ставки для определения расходов на выполнение отдельных мероприятий по строительству объектов "последней мили" не устанавливались на период, в котором устанавливается плата, стоимость строительства указанных объектов определяется сметой, выполненной с применением сметных нормативов.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случае технологического присоединения объектов по производству электрической энергии к ЕНЭС в </w:t>
      </w:r>
      <w:proofErr w:type="spellStart"/>
      <w:r>
        <w:rPr>
          <w:rFonts w:cs="Tahoma"/>
          <w:color w:val="auto"/>
        </w:rPr>
        <w:t>Ри</w:t>
      </w:r>
      <w:proofErr w:type="spellEnd"/>
      <w:r>
        <w:rPr>
          <w:rFonts w:cs="Tahoma"/>
          <w:color w:val="auto"/>
        </w:rPr>
        <w:t xml:space="preserve"> включаются расходы, связанные с развитием существующей электрической сети для целей осуществления такого технологического присоединения.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случае если Заявитель при технологическом присоединении запрашивает третью категорию надежности электроснабжения (технологическое присоединение к одному источнику энергоснабжения), размер платы за технологическое присоединение для него определяется в соответствии с </w:t>
      </w:r>
      <w:hyperlink r:id="rId30" w:history="1">
        <w:r>
          <w:rPr>
            <w:rFonts w:cs="Tahoma"/>
            <w:color w:val="0000FF"/>
          </w:rPr>
          <w:t>главой II</w:t>
        </w:r>
      </w:hyperlink>
      <w:r>
        <w:rPr>
          <w:rFonts w:cs="Tahoma"/>
          <w:color w:val="auto"/>
        </w:rPr>
        <w:t xml:space="preserve"> или с </w:t>
      </w:r>
      <w:hyperlink r:id="rId31" w:history="1">
        <w:r>
          <w:rPr>
            <w:rFonts w:cs="Tahoma"/>
            <w:color w:val="0000FF"/>
          </w:rPr>
          <w:t>главой III</w:t>
        </w:r>
      </w:hyperlink>
      <w:r>
        <w:rPr>
          <w:rFonts w:cs="Tahoma"/>
          <w:color w:val="auto"/>
        </w:rPr>
        <w:t xml:space="preserve"> Методических указаний.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случае если согласно техническим условиям необходимо строительство объектов "последней мили", для которых не устанавливались стандартизированные тарифные ставки на период регулирования, соответствующие стандартизированные тарифные ставки могут быть дополнительно установлены регулирующим органом в течение периода регулирования по обращению сетевой организации.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случае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 к двум независимым источникам энергоснабжения), то размер платы за технологическое присоединение (</w:t>
      </w:r>
      <w:proofErr w:type="spellStart"/>
      <w:r>
        <w:rPr>
          <w:rFonts w:cs="Tahoma"/>
          <w:color w:val="auto"/>
        </w:rPr>
        <w:t>Робщ</w:t>
      </w:r>
      <w:proofErr w:type="spellEnd"/>
      <w:r>
        <w:rPr>
          <w:rFonts w:cs="Tahoma"/>
          <w:color w:val="auto"/>
        </w:rPr>
        <w:t>) определяется следующим образом: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proofErr w:type="spellStart"/>
      <w:r>
        <w:rPr>
          <w:rFonts w:cs="Tahoma"/>
          <w:color w:val="auto"/>
        </w:rPr>
        <w:t>Робщ</w:t>
      </w:r>
      <w:proofErr w:type="spellEnd"/>
      <w:r>
        <w:rPr>
          <w:rFonts w:cs="Tahoma"/>
          <w:color w:val="auto"/>
        </w:rPr>
        <w:t xml:space="preserve"> = Р + (Рист1 + Рист2) (руб.), где: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r>
        <w:rPr>
          <w:rFonts w:cs="Tahoma"/>
          <w:color w:val="auto"/>
        </w:rPr>
        <w:t xml:space="preserve">Р - расходы на технологическое присоединение, связанные с проведением мероприятий, указанных в </w:t>
      </w:r>
      <w:hyperlink r:id="rId32" w:history="1">
        <w:r>
          <w:rPr>
            <w:rFonts w:cs="Tahoma"/>
            <w:color w:val="0000FF"/>
          </w:rPr>
          <w:t>п. 16</w:t>
        </w:r>
      </w:hyperlink>
      <w:r>
        <w:rPr>
          <w:rFonts w:cs="Tahoma"/>
          <w:color w:val="auto"/>
        </w:rPr>
        <w:t xml:space="preserve"> Методических указаний, за исключением указанных в </w:t>
      </w:r>
      <w:hyperlink r:id="rId33" w:history="1">
        <w:r>
          <w:rPr>
            <w:rFonts w:cs="Tahoma"/>
            <w:color w:val="0000FF"/>
          </w:rPr>
          <w:t>подпункте "б"</w:t>
        </w:r>
      </w:hyperlink>
      <w:r>
        <w:rPr>
          <w:rFonts w:cs="Tahoma"/>
          <w:color w:val="auto"/>
        </w:rPr>
        <w:t xml:space="preserve">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Рист1 - расходы на выполнение мероприятий, предусмотренных </w:t>
      </w:r>
      <w:hyperlink r:id="rId34" w:history="1">
        <w:r>
          <w:rPr>
            <w:rFonts w:cs="Tahoma"/>
            <w:color w:val="0000FF"/>
          </w:rPr>
          <w:t>подпунктом "б" пункта 16</w:t>
        </w:r>
      </w:hyperlink>
      <w:r>
        <w:rPr>
          <w:rFonts w:cs="Tahoma"/>
          <w:color w:val="auto"/>
        </w:rPr>
        <w:t xml:space="preserve">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первому независимому источнику энергоснабжения в соответствии с </w:t>
      </w:r>
      <w:hyperlink r:id="rId35" w:history="1">
        <w:r>
          <w:rPr>
            <w:rFonts w:cs="Tahoma"/>
            <w:color w:val="0000FF"/>
          </w:rPr>
          <w:t>главой II</w:t>
        </w:r>
      </w:hyperlink>
      <w:r>
        <w:rPr>
          <w:rFonts w:cs="Tahoma"/>
          <w:color w:val="auto"/>
        </w:rPr>
        <w:t xml:space="preserve">, </w:t>
      </w:r>
      <w:hyperlink r:id="rId36" w:history="1">
        <w:r>
          <w:rPr>
            <w:rFonts w:cs="Tahoma"/>
            <w:color w:val="0000FF"/>
          </w:rPr>
          <w:t>главой III</w:t>
        </w:r>
      </w:hyperlink>
      <w:r>
        <w:rPr>
          <w:rFonts w:cs="Tahoma"/>
          <w:color w:val="auto"/>
        </w:rPr>
        <w:t xml:space="preserve">, </w:t>
      </w:r>
      <w:hyperlink r:id="rId37" w:history="1">
        <w:r>
          <w:rPr>
            <w:rFonts w:cs="Tahoma"/>
            <w:color w:val="0000FF"/>
          </w:rPr>
          <w:t>главой IV</w:t>
        </w:r>
      </w:hyperlink>
      <w:r>
        <w:rPr>
          <w:rFonts w:cs="Tahoma"/>
          <w:color w:val="auto"/>
        </w:rPr>
        <w:t xml:space="preserve"> или с </w:t>
      </w:r>
      <w:hyperlink r:id="rId38" w:history="1">
        <w:r>
          <w:rPr>
            <w:rFonts w:cs="Tahoma"/>
            <w:color w:val="0000FF"/>
          </w:rPr>
          <w:t>главой V</w:t>
        </w:r>
      </w:hyperlink>
      <w:r>
        <w:rPr>
          <w:rFonts w:cs="Tahoma"/>
          <w:color w:val="auto"/>
        </w:rPr>
        <w:t xml:space="preserve"> Методических указаний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Рист2 - расходы на выполнение мероприятий, предусмотренных </w:t>
      </w:r>
      <w:hyperlink r:id="rId39" w:history="1">
        <w:r>
          <w:rPr>
            <w:rFonts w:cs="Tahoma"/>
            <w:color w:val="0000FF"/>
          </w:rPr>
          <w:t>подпунктом "б" пункта 16</w:t>
        </w:r>
      </w:hyperlink>
      <w:r>
        <w:rPr>
          <w:rFonts w:cs="Tahoma"/>
          <w:color w:val="auto"/>
        </w:rPr>
        <w:t xml:space="preserve">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второму независимому источнику энергоснабжения в соответствии с </w:t>
      </w:r>
      <w:hyperlink r:id="rId40" w:history="1">
        <w:r>
          <w:rPr>
            <w:rFonts w:cs="Tahoma"/>
            <w:color w:val="0000FF"/>
          </w:rPr>
          <w:t>главой II</w:t>
        </w:r>
      </w:hyperlink>
      <w:r>
        <w:rPr>
          <w:rFonts w:cs="Tahoma"/>
          <w:color w:val="auto"/>
        </w:rPr>
        <w:t xml:space="preserve">, </w:t>
      </w:r>
      <w:hyperlink r:id="rId41" w:history="1">
        <w:r>
          <w:rPr>
            <w:rFonts w:cs="Tahoma"/>
            <w:color w:val="0000FF"/>
          </w:rPr>
          <w:t>главой III</w:t>
        </w:r>
      </w:hyperlink>
      <w:r>
        <w:rPr>
          <w:rFonts w:cs="Tahoma"/>
          <w:color w:val="auto"/>
        </w:rPr>
        <w:t xml:space="preserve">, </w:t>
      </w:r>
      <w:hyperlink r:id="rId42" w:history="1">
        <w:r>
          <w:rPr>
            <w:rFonts w:cs="Tahoma"/>
            <w:color w:val="0000FF"/>
          </w:rPr>
          <w:t>главой IV</w:t>
        </w:r>
      </w:hyperlink>
      <w:r>
        <w:rPr>
          <w:rFonts w:cs="Tahoma"/>
          <w:color w:val="auto"/>
        </w:rPr>
        <w:t xml:space="preserve"> или с </w:t>
      </w:r>
      <w:hyperlink r:id="rId43" w:history="1">
        <w:r>
          <w:rPr>
            <w:rFonts w:cs="Tahoma"/>
            <w:color w:val="0000FF"/>
          </w:rPr>
          <w:t>главой V</w:t>
        </w:r>
      </w:hyperlink>
      <w:r>
        <w:rPr>
          <w:rFonts w:cs="Tahoma"/>
          <w:color w:val="auto"/>
        </w:rPr>
        <w:t xml:space="preserve"> Методических указаний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Для Заявителей, осуществляющих технологическое присоединение своих энергопринимающих устройств максимальной мощностью не более 150 кВт (с учетом мощности ранее присоединенных в данной точке присоединения энергопринимающих устройств), формула платы за технологическое присоединение энергопринимающих устройств таких Заявителей имеет следующий вид:</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proofErr w:type="spellStart"/>
      <w:r>
        <w:rPr>
          <w:rFonts w:cs="Tahoma"/>
          <w:color w:val="auto"/>
        </w:rPr>
        <w:t>P</w:t>
      </w:r>
      <w:r>
        <w:rPr>
          <w:rFonts w:cs="Tahoma"/>
          <w:color w:val="auto"/>
          <w:vertAlign w:val="subscript"/>
        </w:rPr>
        <w:t>не</w:t>
      </w:r>
      <w:proofErr w:type="spellEnd"/>
      <w:r>
        <w:rPr>
          <w:rFonts w:cs="Tahoma"/>
          <w:color w:val="auto"/>
          <w:vertAlign w:val="subscript"/>
        </w:rPr>
        <w:t xml:space="preserve"> более 150 кВт</w:t>
      </w:r>
      <w:r>
        <w:rPr>
          <w:rFonts w:cs="Tahoma"/>
          <w:color w:val="auto"/>
        </w:rPr>
        <w:t xml:space="preserve"> = С1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540"/>
        <w:jc w:val="both"/>
        <w:rPr>
          <w:rFonts w:cs="Tahoma"/>
          <w:color w:val="auto"/>
        </w:rPr>
      </w:pPr>
      <w:bookmarkStart w:id="6" w:name="Par839"/>
      <w:bookmarkEnd w:id="6"/>
      <w:r>
        <w:rPr>
          <w:rFonts w:cs="Tahoma"/>
          <w:color w:val="auto"/>
        </w:rPr>
        <w:t>Плата за технологическое присоединение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 устанавливается исходя из стоимости мероприятий по технологическому присоединению в размере 550 рублей при присоединении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границах муниципальных районов, городских округов и на внутригородских территориях городов федерального значения одно и то же лицо может осуществить технологическое присоединение энергопринимающих устройств, принадлежащих ему на праве собственности или на ином законном основании, соответствующих критериям, указанным в </w:t>
      </w:r>
      <w:hyperlink w:anchor="Par839" w:history="1">
        <w:r>
          <w:rPr>
            <w:rFonts w:cs="Tahoma"/>
            <w:color w:val="0000FF"/>
          </w:rPr>
          <w:t>абзаце первом</w:t>
        </w:r>
      </w:hyperlink>
      <w:r>
        <w:rPr>
          <w:rFonts w:cs="Tahoma"/>
          <w:color w:val="auto"/>
        </w:rPr>
        <w:t xml:space="preserve"> настоящего пункта, с платой за технологическое присоединение в размере, не превышающем 550 рублей, не более одного раза в течение 3 лет.</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Данное положение не применяется в следующих случаях:</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при технологическом присоединении энергопринимающих устройств, принадлежащих лицам, владеющим земельным участком по договору аренды, заключенному на срок не более одного года, на котором расположены присоединяемые энергопринимающие устройства;</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при технологическом присоединении энергопринимающих устройств, расположенных в жилых помещениях многоквартирных домов.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соответствии с </w:t>
      </w:r>
      <w:hyperlink r:id="rId44" w:history="1">
        <w:r>
          <w:rPr>
            <w:rFonts w:cs="Tahoma"/>
            <w:color w:val="0000FF"/>
          </w:rPr>
          <w:t>пунктом 8</w:t>
        </w:r>
      </w:hyperlink>
      <w:r>
        <w:rPr>
          <w:rFonts w:cs="Tahoma"/>
          <w:color w:val="auto"/>
        </w:rPr>
        <w:t xml:space="preserve"> Правил технологического присоединения под наименьшим расстоянием от границ участка Заявителя до объектов электросетевого хозяйства сетевой организации понимается минимальное расстояние, измеряемое по прямой линии от границы участка (нахождения присоединяемых энергопринимающих устройств) Заявителя до ближайшего объекта электрической сети (опора линий электропередачи, кабельная линия, распределительное устройство, подстанция), имеющего указанный в заявке класс напряжения, существующего или планируемого к вводу в эксплуатацию в соответствии с инвестиционной программой сетевой организации, утвержденной в установленном порядке, в сроки, предусмотренные </w:t>
      </w:r>
      <w:hyperlink r:id="rId45" w:history="1">
        <w:r>
          <w:rPr>
            <w:rFonts w:cs="Tahoma"/>
            <w:color w:val="0000FF"/>
          </w:rPr>
          <w:t>подпунктом "б" пункта 16</w:t>
        </w:r>
      </w:hyperlink>
      <w:r>
        <w:rPr>
          <w:rFonts w:cs="Tahoma"/>
          <w:color w:val="auto"/>
        </w:rPr>
        <w:t xml:space="preserve"> Правил технологического присоединения, исчисляемые со дня подачи заявки в сетевую организацию.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 xml:space="preserve">В случае, если с учетом увеличения максимальной мощности ранее присоединенного устройства максимальная мощность превысит 15 кВт и (или) превышены вышеуказанные расстояния, расчет платы за технологическое присоединение производится в соответствии с </w:t>
      </w:r>
      <w:hyperlink r:id="rId46" w:history="1">
        <w:r>
          <w:rPr>
            <w:rFonts w:cs="Tahoma"/>
            <w:color w:val="0000FF"/>
          </w:rPr>
          <w:t>главой II</w:t>
        </w:r>
      </w:hyperlink>
      <w:r>
        <w:rPr>
          <w:rFonts w:cs="Tahoma"/>
          <w:color w:val="auto"/>
        </w:rPr>
        <w:t xml:space="preserve"> Методических указаний по стандартизированным тарифным ставкам или с </w:t>
      </w:r>
      <w:hyperlink r:id="rId47" w:history="1">
        <w:r>
          <w:rPr>
            <w:rFonts w:cs="Tahoma"/>
            <w:color w:val="0000FF"/>
          </w:rPr>
          <w:t>главой III</w:t>
        </w:r>
      </w:hyperlink>
      <w:r>
        <w:rPr>
          <w:rFonts w:cs="Tahoma"/>
          <w:color w:val="auto"/>
        </w:rPr>
        <w:t xml:space="preserve"> Методических указаний по ставке платы, утвержденной регулирующим органом в соответствии с принятой в субъекте Российской Федерации дифференциацией ставок платы за технологическое присоединение, на объем увеличения максимальной мощности ранее присоединенного Устройства, заявленной потребителем.</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Плата для Заявителя, подавшего заявку в целях технологического присоединения энергопринимающих устройств максимальной мощностью, не превышающей 15 кВт включительно (с учетом ранее присоединенной в данной точке присоединения мощности), по первой и (или) второй категории надежности, т.е. к двум независимым источникам электроснабжения, производится по ставке платы, утвержденной регулирующим органом в соответствии с принятой в субъекте Российской Федерации дифференциацией ставок платы за технологическое присоединение, за объем максимальной мощности, указанной в заявке на технологическое присоединение, по выбранной категории надежности.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отношении садоводческих, огороднических, дачных некоммерческих объединений и иных некоммерческих объединений (гаражно-строительных, гаражных кооперативов) размер платы за технологическое присоединение энергопринимающих устройств составляет 550 рублей, умноженных на количество членов этих объединений, при условии присоединения каждым членом такого объединения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 отношении граждан, объединивших свои гаражи и хозяйственные постройки (погреба, сараи), размер платы за технологическое присоединение энергопринимающих устройств составляет 550 рублей при условии присоединения каждым собственником этих построек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указанных объединенных построек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Размер платы за технологическое присоединение энергопринимающих устройств религиозных организаций составляет 550 рублей при условии присоединения не более 15 кВт по третьей категории надежности (по одному источнику электроснабжения) с учетом ранее присоединенных в данной точке присоединения энергопринимающих устройств при присоединении к электрическим сетям сетевой организации на уровне напряжения до 20 кВ включительно и нахождения энергопринимающих устройств таких организаций на расстоянии не более 300 метров в городах и поселках городского типа и не более 500 метров в сельской местности до существующих объектов электросетевого хозяйства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Разница между экономически обоснованными расходами, определенными сетевой организацией для данного присоединения, и вышеуказанной платой, установленной для включенных в перечень некоммерческих организаций, учитывается в тарифах на услуги по передаче электрической энергии.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Включение в состав платы за технологическое присоединение энергопринимающих устройств Заявителей инвестиционной составляющей на покрытие расходов, связанных с развитием существующей инфраструктуры, в том числе связей между объектами территориальных сетевых организаций и объектами единой национальной (общероссийской) электрической сети, за исключением расходов на строительство объектов электросетевого хозяйства от существующих объектов электросетевого хозяйства до границы участка Заявителя, не допускается.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С 1 октября 2017 года в состав платы за технологическое присоединение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не включаются расходы, связанные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00"/>
        <w:ind w:firstLine="540"/>
        <w:jc w:val="both"/>
        <w:rPr>
          <w:rFonts w:cs="Tahoma"/>
          <w:color w:val="auto"/>
        </w:rPr>
      </w:pPr>
      <w:r>
        <w:rPr>
          <w:rFonts w:cs="Tahoma"/>
          <w:color w:val="auto"/>
        </w:rPr>
        <w:t>При этом расходы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не учитываемые в составе платы за технологическое присоединение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включаются в расходы сетевой организации, учитываемые при установлении тарифов на услуги по передаче электрической энергии.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outlineLvl w:val="0"/>
        <w:rPr>
          <w:rFonts w:cs="Tahoma"/>
          <w:color w:val="auto"/>
        </w:rPr>
      </w:pPr>
      <w:r>
        <w:rPr>
          <w:rFonts w:cs="Tahoma"/>
          <w:color w:val="auto"/>
        </w:rPr>
        <w:t>Приложение N 5</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к постановлению</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департамента цен и тарифов</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администрации Владимирской области</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от 21.11.2019 N 42/1</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C82C12" w:rsidRDefault="00C82C12"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21FFF" w:rsidRDefault="00821FFF"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bookmarkStart w:id="7" w:name="Par865"/>
      <w:bookmarkEnd w:id="7"/>
      <w:r>
        <w:rPr>
          <w:rFonts w:cs="Tahoma"/>
          <w:b/>
          <w:bCs/>
          <w:color w:val="auto"/>
        </w:rPr>
        <w:t>ВЫПАДАЮЩИЕ ДОХОДЫ,</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СВЯЗАННЫЕ С ОСУЩЕСТВЛЕНИЕМ ТЕХНОЛОГИЧЕСКОГО ПРИСОЕДИНЕНИЯ</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К ЭЛЕКТРИЧЕСКИМ СЕТЯМ ТЕРРИТОРИАЛЬНЫХ СЕТЕВЫХ ОРГАНИЗАЦИЙ</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ВЛАДИМИРСКОЙ ОБЛАСТИ, НЕ ВКЛЮЧАЕМЫЕ В ПЛАТУ</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b/>
          <w:bCs/>
          <w:color w:val="auto"/>
        </w:rPr>
      </w:pPr>
      <w:r>
        <w:rPr>
          <w:rFonts w:cs="Tahoma"/>
          <w:b/>
          <w:bCs/>
          <w:color w:val="auto"/>
        </w:rPr>
        <w:t>ЗА ТЕХНОЛОГИЧЕСКОЕ ПРИСОЕДИНЕНИЕ</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cs="Tahoma"/>
          <w:color w:val="auto"/>
        </w:rPr>
      </w:pP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cs="Tahoma"/>
          <w:color w:val="auto"/>
        </w:rPr>
      </w:pPr>
      <w:r>
        <w:rPr>
          <w:rFonts w:cs="Tahoma"/>
          <w:color w:val="auto"/>
        </w:rPr>
        <w:t>(тыс. руб.)</w:t>
      </w:r>
    </w:p>
    <w:p w:rsidR="00802EE4" w:rsidRDefault="00802EE4" w:rsidP="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bl>
      <w:tblPr>
        <w:tblW w:w="0" w:type="auto"/>
        <w:tblLayout w:type="fixed"/>
        <w:tblCellMar>
          <w:top w:w="102" w:type="dxa"/>
          <w:left w:w="62" w:type="dxa"/>
          <w:bottom w:w="102" w:type="dxa"/>
          <w:right w:w="62" w:type="dxa"/>
        </w:tblCellMar>
        <w:tblLook w:val="0000"/>
      </w:tblPr>
      <w:tblGrid>
        <w:gridCol w:w="567"/>
        <w:gridCol w:w="2268"/>
        <w:gridCol w:w="1134"/>
        <w:gridCol w:w="1246"/>
        <w:gridCol w:w="963"/>
        <w:gridCol w:w="963"/>
        <w:gridCol w:w="963"/>
        <w:gridCol w:w="965"/>
      </w:tblGrid>
      <w:tr w:rsidR="00802EE4">
        <w:tc>
          <w:tcPr>
            <w:tcW w:w="567"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N</w:t>
            </w:r>
          </w:p>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п/п</w:t>
            </w:r>
          </w:p>
        </w:tc>
        <w:tc>
          <w:tcPr>
            <w:tcW w:w="2268" w:type="dxa"/>
            <w:vMerge w:val="restart"/>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Наименование территориальной сетевой организации Владимирской области</w:t>
            </w:r>
          </w:p>
        </w:tc>
        <w:tc>
          <w:tcPr>
            <w:tcW w:w="6234" w:type="dxa"/>
            <w:gridSpan w:val="6"/>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Размер выпадающих доходов в составе необходимой валовой выручки по передаче электрической энергии на 2020 год, не включаемых в плату за технологическое присоединение, за 2018 год и плановый период 2020 года</w:t>
            </w:r>
          </w:p>
        </w:tc>
      </w:tr>
      <w:tr w:rsidR="00802EE4">
        <w:tc>
          <w:tcPr>
            <w:tcW w:w="56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2380"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связанных с осуществлением технологического присоединения энергопринимающих устройств максимальной мощностью, не превышающей 15 кВт включительно (с учетом ранее присоединенных в данной точке присоединения энергопринимающих устройств)</w:t>
            </w:r>
          </w:p>
        </w:tc>
        <w:tc>
          <w:tcPr>
            <w:tcW w:w="1926"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связанных с осуществлением технологического присоединения энергопринимающих устройств максимальной мощностью, не превышающей 150 кВт включительно (с учетом ранее присоединенных в данной точке присоединения энергопринимающих устройств)</w:t>
            </w:r>
          </w:p>
        </w:tc>
        <w:tc>
          <w:tcPr>
            <w:tcW w:w="1928" w:type="dxa"/>
            <w:gridSpan w:val="2"/>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на выплату процентов по кредитным договорам, связанным с рассрочкой по оплате технологического присоединения энергопринимающих устройств максимальной мощностью свыше 15 и до 150 кВт включительно (с учетом ранее присоединенных в данной точке присоединения энергопринимающих устройств)</w:t>
            </w:r>
          </w:p>
        </w:tc>
      </w:tr>
      <w:tr w:rsidR="00802EE4">
        <w:tc>
          <w:tcPr>
            <w:tcW w:w="567"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sz w:val="24"/>
                <w:szCs w:val="24"/>
              </w:rPr>
            </w:pP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2018 год</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2020 год</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2018 год</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2020 год</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2018 год</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2020 год</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Филиал "Владимирэнерго" ПАО "МРСК Центра и Приволжья"</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-2649,47</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104671,97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АО "ОРЭС-Владимирская область"</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-7547,80</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16727,71</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Филиал "Волго-Вятский" ПАО "</w:t>
            </w:r>
            <w:proofErr w:type="spellStart"/>
            <w:r>
              <w:rPr>
                <w:rFonts w:cs="Tahoma"/>
                <w:color w:val="auto"/>
              </w:rPr>
              <w:t>Оборонэнерго</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-44,53</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Ковровэлектросетьремонт</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-154,36</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270,17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1346,19</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МУП округа Муром "Городская электросеть"</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291,41</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2734,75</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1493,07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2170,06</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71,87</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14,43</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Радугагорэнерго</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-305,23</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472,80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7.</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Костеревские</w:t>
            </w:r>
            <w:proofErr w:type="spellEnd"/>
            <w:r>
              <w:rPr>
                <w:rFonts w:cs="Tahoma"/>
                <w:color w:val="auto"/>
              </w:rPr>
              <w:t xml:space="preserve"> городские электрические сети"</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-220,65</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697,93</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МУП "</w:t>
            </w:r>
            <w:proofErr w:type="spellStart"/>
            <w:r>
              <w:rPr>
                <w:rFonts w:cs="Tahoma"/>
                <w:color w:val="auto"/>
              </w:rPr>
              <w:t>Александровгорэлектросеть</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986,50</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1484,11</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СтройГарант</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1436,47</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1148,23</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325,40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10.</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ЭнергоАктив</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-419,84</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427,77</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Филиал ОАО "Российские железные дороги" </w:t>
            </w:r>
            <w:proofErr w:type="spellStart"/>
            <w:r>
              <w:rPr>
                <w:rFonts w:cs="Tahoma"/>
                <w:color w:val="auto"/>
              </w:rPr>
              <w:t>Трансэнерго</w:t>
            </w:r>
            <w:proofErr w:type="spellEnd"/>
            <w:r>
              <w:rPr>
                <w:rFonts w:cs="Tahoma"/>
                <w:color w:val="auto"/>
              </w:rPr>
              <w:t xml:space="preserve"> Горьковская дирекция по энергообеспечению</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118,22</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67,54</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12.</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ЕвроСвет</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111,41</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90,06</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878,48</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13.</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w:t>
            </w:r>
            <w:proofErr w:type="spellStart"/>
            <w:r>
              <w:rPr>
                <w:rFonts w:cs="Tahoma"/>
                <w:color w:val="auto"/>
              </w:rPr>
              <w:t>ЭнергоСтрой</w:t>
            </w:r>
            <w:proofErr w:type="spellEnd"/>
            <w:r>
              <w:rPr>
                <w:rFonts w:cs="Tahoma"/>
                <w:color w:val="auto"/>
              </w:rPr>
              <w:t>"</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557,05</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225,15</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14.</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 xml:space="preserve">Филиал ОАО "Российские железные дороги" </w:t>
            </w:r>
            <w:proofErr w:type="spellStart"/>
            <w:r>
              <w:rPr>
                <w:rFonts w:cs="Tahoma"/>
                <w:color w:val="auto"/>
              </w:rPr>
              <w:t>Трансэнерго</w:t>
            </w:r>
            <w:proofErr w:type="spellEnd"/>
            <w:r>
              <w:rPr>
                <w:rFonts w:cs="Tahoma"/>
                <w:color w:val="auto"/>
              </w:rPr>
              <w:t xml:space="preserve"> Московская дирекция по энергообеспечению</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93,34</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45,03</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15.</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"Энергетик", г. Вязники</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44,57</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22,51</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r w:rsidR="00802EE4">
        <w:tc>
          <w:tcPr>
            <w:tcW w:w="567"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16.</w:t>
            </w:r>
          </w:p>
        </w:tc>
        <w:tc>
          <w:tcPr>
            <w:tcW w:w="2268"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ahoma"/>
                <w:color w:val="auto"/>
              </w:rPr>
            </w:pPr>
            <w:r>
              <w:rPr>
                <w:rFonts w:cs="Tahoma"/>
                <w:color w:val="auto"/>
              </w:rPr>
              <w:t>ООО "Энергетик", г. Карабаново</w:t>
            </w:r>
          </w:p>
        </w:tc>
        <w:tc>
          <w:tcPr>
            <w:tcW w:w="1134"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200,54</w:t>
            </w:r>
          </w:p>
        </w:tc>
        <w:tc>
          <w:tcPr>
            <w:tcW w:w="1246"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67,54</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3"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c>
          <w:tcPr>
            <w:tcW w:w="965" w:type="dxa"/>
            <w:tcBorders>
              <w:top w:val="single" w:sz="4" w:space="0" w:color="auto"/>
              <w:left w:val="single" w:sz="4" w:space="0" w:color="auto"/>
              <w:bottom w:val="single" w:sz="4" w:space="0" w:color="auto"/>
              <w:right w:val="single" w:sz="4" w:space="0" w:color="auto"/>
            </w:tcBorders>
          </w:tcPr>
          <w:p w:rsidR="00802EE4" w:rsidRDefault="00802E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cs="Tahoma"/>
                <w:color w:val="auto"/>
              </w:rPr>
            </w:pPr>
            <w:r>
              <w:rPr>
                <w:rFonts w:cs="Tahoma"/>
                <w:color w:val="auto"/>
              </w:rPr>
              <w:t>0</w:t>
            </w:r>
          </w:p>
        </w:tc>
      </w:tr>
    </w:tbl>
    <w:p w:rsidR="00761D94" w:rsidRPr="00292DF4" w:rsidRDefault="00761D94" w:rsidP="003B097D">
      <w:pPr>
        <w:ind w:left="741" w:firstLine="510"/>
        <w:jc w:val="both"/>
        <w:rPr>
          <w:rFonts w:cs="Tahoma"/>
          <w:sz w:val="16"/>
          <w:szCs w:val="16"/>
        </w:rPr>
      </w:pPr>
    </w:p>
    <w:sectPr w:rsidR="00761D94" w:rsidRPr="00292DF4" w:rsidSect="0071670D">
      <w:headerReference w:type="default" r:id="rId48"/>
      <w:footerReference w:type="default" r:id="rId49"/>
      <w:headerReference w:type="first" r:id="rId50"/>
      <w:footerReference w:type="first" r:id="rId51"/>
      <w:pgSz w:w="11906" w:h="16838"/>
      <w:pgMar w:top="709" w:right="1134" w:bottom="1134" w:left="1418" w:header="709" w:footer="85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3A9" w:rsidRDefault="00CE43A9">
      <w:r>
        <w:separator/>
      </w:r>
    </w:p>
  </w:endnote>
  <w:endnote w:type="continuationSeparator" w:id="0">
    <w:p w:rsidR="00CE43A9" w:rsidRDefault="00CE43A9">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decorative"/>
    <w:notTrueType/>
    <w:pitch w:val="variable"/>
    <w:sig w:usb0="8000008B" w:usb1="100060E8" w:usb2="00000000" w:usb3="00000000" w:csb0="80000009"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834" w:rsidRDefault="00A74834" w:rsidP="00AD02EF">
    <w:pPr>
      <w:pStyle w:val="a9"/>
      <w:tabs>
        <w:tab w:val="clear" w:pos="9355"/>
        <w:tab w:val="right" w:pos="9923"/>
      </w:tabs>
      <w:jc w:val="right"/>
    </w:pPr>
    <w:r>
      <w:rPr>
        <w:noProof/>
      </w:rPr>
      <w:drawing>
        <wp:anchor distT="0" distB="0" distL="114300" distR="114300" simplePos="0" relativeHeight="251685888" behindDoc="0" locked="0" layoutInCell="1" allowOverlap="1">
          <wp:simplePos x="0" y="0"/>
          <wp:positionH relativeFrom="page">
            <wp:posOffset>5005070</wp:posOffset>
          </wp:positionH>
          <wp:positionV relativeFrom="paragraph">
            <wp:posOffset>-556631</wp:posOffset>
          </wp:positionV>
          <wp:extent cx="2160000" cy="1561446"/>
          <wp:effectExtent l="0" t="0" r="0" b="127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имени-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0000" cy="1561446"/>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834" w:rsidRDefault="00A74834" w:rsidP="00AD02EF">
    <w:pPr>
      <w:pStyle w:val="a9"/>
      <w:tabs>
        <w:tab w:val="clear" w:pos="9355"/>
        <w:tab w:val="right" w:pos="9923"/>
      </w:tabs>
    </w:pPr>
    <w:r>
      <w:rPr>
        <w:noProof/>
      </w:rPr>
      <w:drawing>
        <wp:anchor distT="0" distB="0" distL="114300" distR="114300" simplePos="0" relativeHeight="251686912" behindDoc="1" locked="0" layoutInCell="1" allowOverlap="1">
          <wp:simplePos x="0" y="0"/>
          <wp:positionH relativeFrom="column">
            <wp:posOffset>3954780</wp:posOffset>
          </wp:positionH>
          <wp:positionV relativeFrom="paragraph">
            <wp:posOffset>-492760</wp:posOffset>
          </wp:positionV>
          <wp:extent cx="2340000" cy="1691565"/>
          <wp:effectExtent l="0" t="0" r="3175" b="444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з 3 2 лист.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0000" cy="1691565"/>
                  </a:xfrm>
                  <a:prstGeom prst="rect">
                    <a:avLst/>
                  </a:prstGeom>
                </pic:spPr>
              </pic:pic>
            </a:graphicData>
          </a:graphic>
        </wp:anchor>
      </w:drawing>
    </w:r>
  </w:p>
  <w:p w:rsidR="00A74834" w:rsidRDefault="00A74834" w:rsidP="000604B4">
    <w:pPr>
      <w:pStyle w:val="a9"/>
      <w:tabs>
        <w:tab w:val="clear" w:pos="4677"/>
        <w:tab w:val="clear" w:pos="9355"/>
        <w:tab w:val="right" w:pos="935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3A9" w:rsidRDefault="00CE43A9">
      <w:r>
        <w:separator/>
      </w:r>
    </w:p>
  </w:footnote>
  <w:footnote w:type="continuationSeparator" w:id="0">
    <w:p w:rsidR="00CE43A9" w:rsidRDefault="00CE43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834" w:rsidRDefault="00A74834" w:rsidP="004B4D87">
    <w:pPr>
      <w:pStyle w:val="2"/>
      <w:ind w:left="5954" w:right="-2"/>
    </w:pPr>
    <w:r>
      <w:rPr>
        <w:rFonts w:ascii="Tahoma" w:hAnsi="Tahoma" w:cs="Tahoma"/>
        <w:noProof/>
        <w:color w:val="808080" w:themeColor="background1" w:themeShade="80"/>
        <w:sz w:val="18"/>
      </w:rPr>
      <w:drawing>
        <wp:anchor distT="0" distB="0" distL="114300" distR="114300" simplePos="0" relativeHeight="251665408" behindDoc="0" locked="0" layoutInCell="1" allowOverlap="1">
          <wp:simplePos x="0" y="0"/>
          <wp:positionH relativeFrom="margin">
            <wp:posOffset>180340</wp:posOffset>
          </wp:positionH>
          <wp:positionV relativeFrom="margin">
            <wp:posOffset>-431800</wp:posOffset>
          </wp:positionV>
          <wp:extent cx="1177200" cy="172800"/>
          <wp:effectExtent l="0" t="0" r="4445" b="0"/>
          <wp:wrapNone/>
          <wp:docPr id="1073741847" name="Рисунок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7200" cy="172800"/>
                  </a:xfrm>
                  <a:prstGeom prst="rect">
                    <a:avLst/>
                  </a:prstGeom>
                </pic:spPr>
              </pic:pic>
            </a:graphicData>
          </a:graphic>
        </wp:anchor>
      </w:drawing>
    </w:r>
  </w:p>
  <w:p w:rsidR="00A74834" w:rsidRDefault="006F7F20" w:rsidP="00CC2871">
    <w:pPr>
      <w:pStyle w:val="a7"/>
    </w:pPr>
    <w:r>
      <w:rPr>
        <w:noProof/>
      </w:rPr>
      <w:pict>
        <v:group id="Группа 1073741848" o:spid="_x0000_s4101" style="position:absolute;margin-left:0;margin-top:56.7pt;width:465.75pt;height:6.25pt;z-index:251667456;mso-position-horizontal-relative:margin;mso-position-vertical-relative:page;mso-width-relative:margin;mso-height-relative:margin" coordorigin="-92,23" coordsize="5915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">
          <v:line id="Прямая соединительная линия 1073741849" o:spid="_x0000_s4104" style="position:absolute;visibility:visible" from="714,446" to="5836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" strokecolor="#00b0f0" strokeweight="2.25pt">
            <v:stroke miterlimit="4" joinstyle="miter"/>
          </v:line>
          <v:oval id="Овал 1073741850" o:spid="_x0000_s4103" style="position:absolute;left:-92;top:29;width:772;height:7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" filled="f" strokecolor="#00b0f0" strokeweight="2pt">
            <v:stroke miterlimit="4" joinstyle="miter"/>
            <v:textbox style="mso-fit-shape-to-text:t" inset="4pt,4pt,4pt,4pt"/>
          </v:oval>
          <v:oval id="Овал 1073741851" o:spid="_x0000_s4102" style="position:absolute;left:58292;top:23;width:774;height:7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" filled="f" strokecolor="#00b0f0" strokeweight="2.25pt">
            <v:stroke miterlimit="4" joinstyle="miter"/>
            <v:textbox style="mso-fit-shape-to-text:t" inset="4pt,4pt,4pt,4pt"/>
          </v:oval>
          <w10:wrap anchorx="margin" anchory="page"/>
        </v:group>
      </w:pict>
    </w:r>
  </w:p>
  <w:p w:rsidR="00A74834" w:rsidRDefault="00A74834" w:rsidP="00CC287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834" w:rsidRDefault="00A74834" w:rsidP="00926A53">
    <w:pPr>
      <w:pStyle w:val="2"/>
      <w:ind w:left="5954"/>
      <w:rPr>
        <w:rFonts w:ascii="Tahoma" w:hAnsi="Tahoma" w:cs="Tahoma"/>
        <w:color w:val="000000" w:themeColor="text1"/>
        <w:sz w:val="18"/>
      </w:rPr>
    </w:pPr>
    <w:r w:rsidRPr="004C4A47">
      <w:rPr>
        <w:rFonts w:cs="Tahoma"/>
        <w:noProof/>
        <w:color w:val="auto"/>
        <w:sz w:val="18"/>
        <w:szCs w:val="18"/>
      </w:rPr>
      <w:drawing>
        <wp:anchor distT="0" distB="0" distL="114300" distR="114300" simplePos="0" relativeHeight="251687936" behindDoc="0" locked="0" layoutInCell="1" allowOverlap="1">
          <wp:simplePos x="0" y="0"/>
          <wp:positionH relativeFrom="page">
            <wp:posOffset>900430</wp:posOffset>
          </wp:positionH>
          <wp:positionV relativeFrom="page">
            <wp:posOffset>450215</wp:posOffset>
          </wp:positionV>
          <wp:extent cx="2880000" cy="4248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ладимирская область.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0" cy="424800"/>
                  </a:xfrm>
                  <a:prstGeom prst="rect">
                    <a:avLst/>
                  </a:prstGeom>
                </pic:spPr>
              </pic:pic>
            </a:graphicData>
          </a:graphic>
        </wp:anchor>
      </w:drawing>
    </w:r>
  </w:p>
  <w:p w:rsidR="00A74834" w:rsidRDefault="00A74834" w:rsidP="00926A53">
    <w:pPr>
      <w:pStyle w:val="2"/>
      <w:ind w:left="5954"/>
      <w:rPr>
        <w:rFonts w:ascii="Tahoma" w:hAnsi="Tahoma" w:cs="Tahoma"/>
        <w:color w:val="000000" w:themeColor="text1"/>
        <w:sz w:val="18"/>
      </w:rPr>
    </w:pPr>
  </w:p>
  <w:p w:rsidR="00A74834" w:rsidRDefault="00A74834" w:rsidP="00926A53">
    <w:pPr>
      <w:pStyle w:val="2"/>
      <w:ind w:left="5954"/>
      <w:rPr>
        <w:rFonts w:ascii="Tahoma" w:hAnsi="Tahoma" w:cs="Tahoma"/>
        <w:color w:val="000000" w:themeColor="text1"/>
        <w:sz w:val="18"/>
      </w:rPr>
    </w:pPr>
  </w:p>
  <w:p w:rsidR="00A74834" w:rsidRDefault="00A74834" w:rsidP="00926A53">
    <w:pPr>
      <w:pStyle w:val="2"/>
      <w:ind w:left="5954"/>
      <w:rPr>
        <w:rFonts w:ascii="Tahoma" w:hAnsi="Tahoma" w:cs="Tahoma"/>
        <w:color w:val="000000" w:themeColor="text1"/>
        <w:sz w:val="18"/>
      </w:rPr>
    </w:pPr>
  </w:p>
  <w:p w:rsidR="00A74834" w:rsidRDefault="00A74834" w:rsidP="00926A53">
    <w:pPr>
      <w:pStyle w:val="2"/>
      <w:ind w:left="5954"/>
      <w:rPr>
        <w:rFonts w:ascii="Tahoma" w:hAnsi="Tahoma" w:cs="Tahoma"/>
        <w:color w:val="000000" w:themeColor="text1"/>
        <w:sz w:val="18"/>
      </w:rPr>
    </w:pPr>
  </w:p>
  <w:p w:rsidR="00A74834" w:rsidRPr="00AF753D" w:rsidRDefault="00A74834" w:rsidP="00926A53">
    <w:pPr>
      <w:pStyle w:val="2"/>
      <w:ind w:left="5954"/>
      <w:rPr>
        <w:rFonts w:ascii="Tahoma" w:hAnsi="Tahoma" w:cs="Tahoma"/>
        <w:color w:val="auto"/>
        <w:sz w:val="18"/>
        <w:szCs w:val="18"/>
        <w:lang w:val="en-US"/>
      </w:rPr>
    </w:pPr>
    <w:r w:rsidRPr="00AF753D">
      <w:rPr>
        <w:rFonts w:ascii="Tahoma" w:hAnsi="Tahoma" w:cs="Tahoma"/>
        <w:color w:val="auto"/>
        <w:sz w:val="18"/>
        <w:szCs w:val="18"/>
        <w:lang w:val="en-US"/>
      </w:rPr>
      <w:t xml:space="preserve"> </w:t>
    </w:r>
  </w:p>
  <w:p w:rsidR="00A74834" w:rsidRPr="00926A53" w:rsidRDefault="006F7F20" w:rsidP="00701115">
    <w:pPr>
      <w:pStyle w:val="2"/>
      <w:ind w:left="6480"/>
      <w:jc w:val="center"/>
      <w:rPr>
        <w:rFonts w:ascii="Tahoma" w:hAnsi="Tahoma" w:cs="Tahoma"/>
        <w:color w:val="auto"/>
        <w:sz w:val="18"/>
        <w:szCs w:val="16"/>
        <w:lang w:val="en-US"/>
      </w:rPr>
    </w:pPr>
    <w:r w:rsidRPr="006F7F20">
      <w:rPr>
        <w:rFonts w:cs="Tahoma"/>
        <w:noProof/>
        <w:sz w:val="22"/>
      </w:rPr>
      <w:pict>
        <v:group id="Группа 4" o:spid="_x0000_s4097" style="position:absolute;left:0;text-align:left;margin-left:70.9pt;margin-top:107.75pt;width:465.75pt;height:6.25pt;z-index:251664384;mso-position-horizontal-relative:page;mso-position-vertical-relative:page;mso-width-relative:margin;mso-height-relative:margin" coordorigin="-92,23" coordsize="5915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">
          <v:line id="Прямая соединительная линия 1" o:spid="_x0000_s4100" style="position:absolute;visibility:visible" from="714,446" to="5836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" strokecolor="#00b0f0" strokeweight="2.25pt">
            <v:stroke miterlimit="4" joinstyle="miter"/>
          </v:line>
          <v:oval id="Овал 2" o:spid="_x0000_s4099" style="position:absolute;left:-92;top:29;width:772;height:7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" filled="f" strokecolor="#00b0f0" strokeweight="2pt">
            <v:stroke miterlimit="4" joinstyle="miter"/>
            <v:textbox style="mso-fit-shape-to-text:t" inset="4pt,4pt,4pt,4pt"/>
          </v:oval>
          <v:oval id="Овал 3" o:spid="_x0000_s4098" style="position:absolute;left:58292;top:23;width:774;height:7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" filled="f" strokecolor="#00b0f0" strokeweight="2.25pt">
            <v:stroke miterlimit="4" joinstyle="miter"/>
            <v:textbox style="mso-fit-shape-to-text:t" inset="4pt,4pt,4pt,4pt"/>
          </v:oval>
          <w10:wrap anchorx="page" anchory="page"/>
        </v:group>
      </w:pict>
    </w:r>
  </w:p>
  <w:p w:rsidR="00A74834" w:rsidRPr="004E4B68" w:rsidRDefault="00A74834" w:rsidP="00A31C84">
    <w:pPr>
      <w:pStyle w:val="a7"/>
      <w:ind w:left="5940"/>
      <w:rPr>
        <w:rFonts w:cs="Tahoma"/>
        <w:sz w:val="22"/>
        <w:lang w:val="en-US"/>
      </w:rPr>
    </w:pPr>
  </w:p>
  <w:p w:rsidR="00A74834" w:rsidRPr="004E4B68" w:rsidRDefault="00A74834" w:rsidP="00A31C84">
    <w:pPr>
      <w:pStyle w:val="a7"/>
      <w:ind w:left="5940"/>
      <w:rPr>
        <w:rFonts w:cs="Tahoma"/>
        <w:sz w:val="22"/>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2DA"/>
    <w:multiLevelType w:val="hybridMultilevel"/>
    <w:tmpl w:val="490E1EC2"/>
    <w:lvl w:ilvl="0" w:tplc="84C273A8">
      <w:start w:val="2"/>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B51EF"/>
    <w:multiLevelType w:val="hybridMultilevel"/>
    <w:tmpl w:val="6C402F5A"/>
    <w:lvl w:ilvl="0" w:tplc="97F65C5E">
      <w:start w:val="1"/>
      <w:numFmt w:val="decimal"/>
      <w:lvlText w:val="%1."/>
      <w:lvlJc w:val="left"/>
      <w:pPr>
        <w:ind w:left="1050" w:hanging="360"/>
      </w:pPr>
      <w:rPr>
        <w:rFonts w:hint="default"/>
        <w:b/>
        <w:i w:val="0"/>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
    <w:nsid w:val="3C320C1A"/>
    <w:multiLevelType w:val="hybridMultilevel"/>
    <w:tmpl w:val="FDF652C0"/>
    <w:lvl w:ilvl="0" w:tplc="F1C4A37A">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
    <w:nsid w:val="444F4C4B"/>
    <w:multiLevelType w:val="hybridMultilevel"/>
    <w:tmpl w:val="0F103D5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901BC0"/>
    <w:multiLevelType w:val="hybridMultilevel"/>
    <w:tmpl w:val="8A1E3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B50758"/>
    <w:multiLevelType w:val="hybridMultilevel"/>
    <w:tmpl w:val="DACED2C0"/>
    <w:lvl w:ilvl="0" w:tplc="C51402BA">
      <w:start w:val="3"/>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271A80"/>
    <w:multiLevelType w:val="hybridMultilevel"/>
    <w:tmpl w:val="A0DC9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AD1F4D"/>
    <w:multiLevelType w:val="hybridMultilevel"/>
    <w:tmpl w:val="FAAAEAF6"/>
    <w:lvl w:ilvl="0" w:tplc="84C273A8">
      <w:start w:val="2"/>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6D1383"/>
    <w:multiLevelType w:val="hybridMultilevel"/>
    <w:tmpl w:val="7500F0A8"/>
    <w:lvl w:ilvl="0" w:tplc="97F65C5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2D7A5D"/>
    <w:multiLevelType w:val="multilevel"/>
    <w:tmpl w:val="178EFDDE"/>
    <w:lvl w:ilvl="0">
      <w:start w:val="1"/>
      <w:numFmt w:val="decimal"/>
      <w:lvlText w:val="%1."/>
      <w:lvlJc w:val="left"/>
      <w:pPr>
        <w:ind w:left="720" w:hanging="360"/>
      </w:pPr>
    </w:lvl>
    <w:lvl w:ilvl="1">
      <w:start w:val="1"/>
      <w:numFmt w:val="decimal"/>
      <w:isLgl/>
      <w:lvlText w:val="%1.%2."/>
      <w:lvlJc w:val="left"/>
      <w:pPr>
        <w:ind w:left="1473" w:hanging="390"/>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3249" w:hanging="720"/>
      </w:pPr>
      <w:rPr>
        <w:rFonts w:hint="default"/>
      </w:rPr>
    </w:lvl>
    <w:lvl w:ilvl="4">
      <w:start w:val="1"/>
      <w:numFmt w:val="decimal"/>
      <w:isLgl/>
      <w:lvlText w:val="%1.%2.%3.%4.%5."/>
      <w:lvlJc w:val="left"/>
      <w:pPr>
        <w:ind w:left="4332" w:hanging="1080"/>
      </w:pPr>
      <w:rPr>
        <w:rFonts w:hint="default"/>
      </w:rPr>
    </w:lvl>
    <w:lvl w:ilvl="5">
      <w:start w:val="1"/>
      <w:numFmt w:val="decimal"/>
      <w:isLgl/>
      <w:lvlText w:val="%1.%2.%3.%4.%5.%6."/>
      <w:lvlJc w:val="left"/>
      <w:pPr>
        <w:ind w:left="5055" w:hanging="1080"/>
      </w:pPr>
      <w:rPr>
        <w:rFonts w:hint="default"/>
      </w:rPr>
    </w:lvl>
    <w:lvl w:ilvl="6">
      <w:start w:val="1"/>
      <w:numFmt w:val="decimal"/>
      <w:isLgl/>
      <w:lvlText w:val="%1.%2.%3.%4.%5.%6.%7."/>
      <w:lvlJc w:val="left"/>
      <w:pPr>
        <w:ind w:left="6138" w:hanging="1440"/>
      </w:pPr>
      <w:rPr>
        <w:rFonts w:hint="default"/>
      </w:rPr>
    </w:lvl>
    <w:lvl w:ilvl="7">
      <w:start w:val="1"/>
      <w:numFmt w:val="decimal"/>
      <w:isLgl/>
      <w:lvlText w:val="%1.%2.%3.%4.%5.%6.%7.%8."/>
      <w:lvlJc w:val="left"/>
      <w:pPr>
        <w:ind w:left="6861" w:hanging="1440"/>
      </w:pPr>
      <w:rPr>
        <w:rFonts w:hint="default"/>
      </w:rPr>
    </w:lvl>
    <w:lvl w:ilvl="8">
      <w:start w:val="1"/>
      <w:numFmt w:val="decimal"/>
      <w:isLgl/>
      <w:lvlText w:val="%1.%2.%3.%4.%5.%6.%7.%8.%9."/>
      <w:lvlJc w:val="left"/>
      <w:pPr>
        <w:ind w:left="7944" w:hanging="1800"/>
      </w:pPr>
      <w:rPr>
        <w:rFonts w:hint="default"/>
      </w:rPr>
    </w:lvl>
  </w:abstractNum>
  <w:abstractNum w:abstractNumId="10">
    <w:nsid w:val="74A534B8"/>
    <w:multiLevelType w:val="hybridMultilevel"/>
    <w:tmpl w:val="51187C98"/>
    <w:lvl w:ilvl="0" w:tplc="84C273A8">
      <w:start w:val="2"/>
      <w:numFmt w:val="decimal"/>
      <w:lvlText w:val="%1."/>
      <w:lvlJc w:val="left"/>
      <w:pPr>
        <w:ind w:left="720" w:hanging="360"/>
      </w:pPr>
      <w:rPr>
        <w:rFonts w:ascii="Tahoma" w:hAnsi="Tahoma" w:cs="Tahom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8139BA"/>
    <w:multiLevelType w:val="multilevel"/>
    <w:tmpl w:val="BAEEF3B4"/>
    <w:lvl w:ilvl="0">
      <w:start w:val="1"/>
      <w:numFmt w:val="decimal"/>
      <w:lvlText w:val="%1."/>
      <w:lvlJc w:val="left"/>
      <w:pPr>
        <w:ind w:left="720" w:hanging="360"/>
      </w:pPr>
    </w:lvl>
    <w:lvl w:ilvl="1">
      <w:start w:val="1"/>
      <w:numFmt w:val="decimal"/>
      <w:isLgl/>
      <w:lvlText w:val="%1.%2."/>
      <w:lvlJc w:val="left"/>
      <w:pPr>
        <w:ind w:left="1473" w:hanging="390"/>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3249" w:hanging="720"/>
      </w:pPr>
      <w:rPr>
        <w:rFonts w:hint="default"/>
      </w:rPr>
    </w:lvl>
    <w:lvl w:ilvl="4">
      <w:start w:val="1"/>
      <w:numFmt w:val="decimal"/>
      <w:isLgl/>
      <w:lvlText w:val="%1.%2.%3.%4.%5."/>
      <w:lvlJc w:val="left"/>
      <w:pPr>
        <w:ind w:left="4332" w:hanging="1080"/>
      </w:pPr>
      <w:rPr>
        <w:rFonts w:hint="default"/>
      </w:rPr>
    </w:lvl>
    <w:lvl w:ilvl="5">
      <w:start w:val="1"/>
      <w:numFmt w:val="decimal"/>
      <w:isLgl/>
      <w:lvlText w:val="%1.%2.%3.%4.%5.%6."/>
      <w:lvlJc w:val="left"/>
      <w:pPr>
        <w:ind w:left="5055" w:hanging="1080"/>
      </w:pPr>
      <w:rPr>
        <w:rFonts w:hint="default"/>
      </w:rPr>
    </w:lvl>
    <w:lvl w:ilvl="6">
      <w:start w:val="1"/>
      <w:numFmt w:val="decimal"/>
      <w:isLgl/>
      <w:lvlText w:val="%1.%2.%3.%4.%5.%6.%7."/>
      <w:lvlJc w:val="left"/>
      <w:pPr>
        <w:ind w:left="6138" w:hanging="1440"/>
      </w:pPr>
      <w:rPr>
        <w:rFonts w:hint="default"/>
      </w:rPr>
    </w:lvl>
    <w:lvl w:ilvl="7">
      <w:start w:val="1"/>
      <w:numFmt w:val="decimal"/>
      <w:isLgl/>
      <w:lvlText w:val="%1.%2.%3.%4.%5.%6.%7.%8."/>
      <w:lvlJc w:val="left"/>
      <w:pPr>
        <w:ind w:left="6861" w:hanging="1440"/>
      </w:pPr>
      <w:rPr>
        <w:rFonts w:hint="default"/>
      </w:rPr>
    </w:lvl>
    <w:lvl w:ilvl="8">
      <w:start w:val="1"/>
      <w:numFmt w:val="decimal"/>
      <w:isLgl/>
      <w:lvlText w:val="%1.%2.%3.%4.%5.%6.%7.%8.%9."/>
      <w:lvlJc w:val="left"/>
      <w:pPr>
        <w:ind w:left="7944" w:hanging="1800"/>
      </w:pPr>
      <w:rPr>
        <w:rFonts w:hint="default"/>
      </w:rPr>
    </w:lvl>
  </w:abstractNum>
  <w:num w:numId="1">
    <w:abstractNumId w:val="11"/>
  </w:num>
  <w:num w:numId="2">
    <w:abstractNumId w:val="9"/>
  </w:num>
  <w:num w:numId="3">
    <w:abstractNumId w:val="2"/>
  </w:num>
  <w:num w:numId="4">
    <w:abstractNumId w:val="1"/>
  </w:num>
  <w:num w:numId="5">
    <w:abstractNumId w:val="3"/>
  </w:num>
  <w:num w:numId="6">
    <w:abstractNumId w:val="4"/>
  </w:num>
  <w:num w:numId="7">
    <w:abstractNumId w:val="8"/>
  </w:num>
  <w:num w:numId="8">
    <w:abstractNumId w:val="5"/>
  </w:num>
  <w:num w:numId="9">
    <w:abstractNumId w:val="10"/>
  </w:num>
  <w:num w:numId="10">
    <w:abstractNumId w:val="0"/>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0"/>
  <w:defaultTabStop w:val="720"/>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EF7D16"/>
    <w:rsid w:val="000037F1"/>
    <w:rsid w:val="00020D19"/>
    <w:rsid w:val="000315C3"/>
    <w:rsid w:val="00036000"/>
    <w:rsid w:val="00052BBE"/>
    <w:rsid w:val="000604B4"/>
    <w:rsid w:val="00064324"/>
    <w:rsid w:val="000811D9"/>
    <w:rsid w:val="00091876"/>
    <w:rsid w:val="000C16A2"/>
    <w:rsid w:val="001018CE"/>
    <w:rsid w:val="001542B7"/>
    <w:rsid w:val="00157FA4"/>
    <w:rsid w:val="00164203"/>
    <w:rsid w:val="0017399A"/>
    <w:rsid w:val="00176B93"/>
    <w:rsid w:val="001A1CB4"/>
    <w:rsid w:val="001B2295"/>
    <w:rsid w:val="001B3C2F"/>
    <w:rsid w:val="001F1B1D"/>
    <w:rsid w:val="00292DF4"/>
    <w:rsid w:val="002A3D97"/>
    <w:rsid w:val="002A4278"/>
    <w:rsid w:val="002B3ADC"/>
    <w:rsid w:val="002C2A51"/>
    <w:rsid w:val="002E1FFA"/>
    <w:rsid w:val="002E43A2"/>
    <w:rsid w:val="002F0840"/>
    <w:rsid w:val="002F3413"/>
    <w:rsid w:val="00303332"/>
    <w:rsid w:val="00307EBD"/>
    <w:rsid w:val="00317C79"/>
    <w:rsid w:val="00322175"/>
    <w:rsid w:val="00322CCF"/>
    <w:rsid w:val="003260F0"/>
    <w:rsid w:val="00330B12"/>
    <w:rsid w:val="00344543"/>
    <w:rsid w:val="00350A39"/>
    <w:rsid w:val="00366B63"/>
    <w:rsid w:val="00370341"/>
    <w:rsid w:val="00380A98"/>
    <w:rsid w:val="00380FBC"/>
    <w:rsid w:val="0038504D"/>
    <w:rsid w:val="003A261B"/>
    <w:rsid w:val="003B097D"/>
    <w:rsid w:val="003C0A2F"/>
    <w:rsid w:val="003C7EDC"/>
    <w:rsid w:val="003D1BD4"/>
    <w:rsid w:val="003E2149"/>
    <w:rsid w:val="00405982"/>
    <w:rsid w:val="00411159"/>
    <w:rsid w:val="00413523"/>
    <w:rsid w:val="00430A00"/>
    <w:rsid w:val="004334B5"/>
    <w:rsid w:val="00441AA6"/>
    <w:rsid w:val="004504D2"/>
    <w:rsid w:val="00453780"/>
    <w:rsid w:val="00476863"/>
    <w:rsid w:val="00490F93"/>
    <w:rsid w:val="0049279B"/>
    <w:rsid w:val="00497968"/>
    <w:rsid w:val="004A33BD"/>
    <w:rsid w:val="004A3BA0"/>
    <w:rsid w:val="004B4D87"/>
    <w:rsid w:val="004C4A47"/>
    <w:rsid w:val="004C7309"/>
    <w:rsid w:val="004C77FC"/>
    <w:rsid w:val="004E4B68"/>
    <w:rsid w:val="00531A88"/>
    <w:rsid w:val="00531BB1"/>
    <w:rsid w:val="0055055B"/>
    <w:rsid w:val="00596E5D"/>
    <w:rsid w:val="005A2DB9"/>
    <w:rsid w:val="005B6945"/>
    <w:rsid w:val="005D69CD"/>
    <w:rsid w:val="005D77E4"/>
    <w:rsid w:val="005E1C1F"/>
    <w:rsid w:val="005E48AC"/>
    <w:rsid w:val="005E7235"/>
    <w:rsid w:val="005F10F1"/>
    <w:rsid w:val="005F21AE"/>
    <w:rsid w:val="00606721"/>
    <w:rsid w:val="00651BEB"/>
    <w:rsid w:val="006B5471"/>
    <w:rsid w:val="006C3735"/>
    <w:rsid w:val="006F7F20"/>
    <w:rsid w:val="00701115"/>
    <w:rsid w:val="0071670D"/>
    <w:rsid w:val="007212B3"/>
    <w:rsid w:val="0072357D"/>
    <w:rsid w:val="00724CC2"/>
    <w:rsid w:val="007255B7"/>
    <w:rsid w:val="00736DC7"/>
    <w:rsid w:val="007404FF"/>
    <w:rsid w:val="0074121A"/>
    <w:rsid w:val="00750C4F"/>
    <w:rsid w:val="00752336"/>
    <w:rsid w:val="00757E66"/>
    <w:rsid w:val="00761D94"/>
    <w:rsid w:val="0078735C"/>
    <w:rsid w:val="007A50E4"/>
    <w:rsid w:val="007E735A"/>
    <w:rsid w:val="00802EE4"/>
    <w:rsid w:val="00821FFF"/>
    <w:rsid w:val="00833DBD"/>
    <w:rsid w:val="00861AB8"/>
    <w:rsid w:val="008876F3"/>
    <w:rsid w:val="00893916"/>
    <w:rsid w:val="008A4B15"/>
    <w:rsid w:val="008B7044"/>
    <w:rsid w:val="008D6A0E"/>
    <w:rsid w:val="008D76C3"/>
    <w:rsid w:val="008F066F"/>
    <w:rsid w:val="008F36DB"/>
    <w:rsid w:val="008F4C96"/>
    <w:rsid w:val="009118B5"/>
    <w:rsid w:val="00920F32"/>
    <w:rsid w:val="00926A53"/>
    <w:rsid w:val="00935D6C"/>
    <w:rsid w:val="00947EB4"/>
    <w:rsid w:val="00953D6B"/>
    <w:rsid w:val="00953E51"/>
    <w:rsid w:val="00975188"/>
    <w:rsid w:val="009A7307"/>
    <w:rsid w:val="009B2689"/>
    <w:rsid w:val="009D5F08"/>
    <w:rsid w:val="009E0D81"/>
    <w:rsid w:val="009E464E"/>
    <w:rsid w:val="009F036E"/>
    <w:rsid w:val="009F4C79"/>
    <w:rsid w:val="009F78C0"/>
    <w:rsid w:val="00A31C84"/>
    <w:rsid w:val="00A534A9"/>
    <w:rsid w:val="00A56A03"/>
    <w:rsid w:val="00A74834"/>
    <w:rsid w:val="00A90859"/>
    <w:rsid w:val="00AB7579"/>
    <w:rsid w:val="00AC2680"/>
    <w:rsid w:val="00AC3F52"/>
    <w:rsid w:val="00AD02EF"/>
    <w:rsid w:val="00AD047E"/>
    <w:rsid w:val="00AF753D"/>
    <w:rsid w:val="00B01542"/>
    <w:rsid w:val="00B0157B"/>
    <w:rsid w:val="00B01BAC"/>
    <w:rsid w:val="00B053E3"/>
    <w:rsid w:val="00B2783F"/>
    <w:rsid w:val="00B5358A"/>
    <w:rsid w:val="00B64A20"/>
    <w:rsid w:val="00BD1BDF"/>
    <w:rsid w:val="00BD279C"/>
    <w:rsid w:val="00BD46BD"/>
    <w:rsid w:val="00C0752F"/>
    <w:rsid w:val="00C07B8C"/>
    <w:rsid w:val="00C34C85"/>
    <w:rsid w:val="00C5727C"/>
    <w:rsid w:val="00C82C12"/>
    <w:rsid w:val="00C84A43"/>
    <w:rsid w:val="00C86758"/>
    <w:rsid w:val="00CA3CAC"/>
    <w:rsid w:val="00CB46F9"/>
    <w:rsid w:val="00CC2871"/>
    <w:rsid w:val="00CC68DC"/>
    <w:rsid w:val="00CE43A9"/>
    <w:rsid w:val="00D01A31"/>
    <w:rsid w:val="00D31172"/>
    <w:rsid w:val="00D36287"/>
    <w:rsid w:val="00D37178"/>
    <w:rsid w:val="00D43568"/>
    <w:rsid w:val="00D53F4A"/>
    <w:rsid w:val="00D853E8"/>
    <w:rsid w:val="00D873E9"/>
    <w:rsid w:val="00DA6F32"/>
    <w:rsid w:val="00E331C1"/>
    <w:rsid w:val="00E44874"/>
    <w:rsid w:val="00E657A9"/>
    <w:rsid w:val="00EB71FC"/>
    <w:rsid w:val="00EC19A4"/>
    <w:rsid w:val="00EF50BE"/>
    <w:rsid w:val="00EF7D16"/>
    <w:rsid w:val="00F4722D"/>
    <w:rsid w:val="00F525B7"/>
    <w:rsid w:val="00F6368E"/>
    <w:rsid w:val="00F65791"/>
    <w:rsid w:val="00F72D93"/>
    <w:rsid w:val="00F77630"/>
    <w:rsid w:val="00F84317"/>
    <w:rsid w:val="00F87EB0"/>
    <w:rsid w:val="00F937E8"/>
    <w:rsid w:val="00FA3CF7"/>
    <w:rsid w:val="00FC6B7B"/>
    <w:rsid w:val="00FE5ED9"/>
    <w:rsid w:val="00FF6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7F20"/>
    <w:rPr>
      <w:rFonts w:ascii="Tahoma" w:hAnsi="Tahoma" w:cs="Arial Unicode MS"/>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F7F20"/>
    <w:rPr>
      <w:u w:val="single"/>
    </w:rPr>
  </w:style>
  <w:style w:type="table" w:customStyle="1" w:styleId="TableNormal">
    <w:name w:val="Table Normal"/>
    <w:rsid w:val="006F7F20"/>
    <w:tblPr>
      <w:tblInd w:w="0" w:type="dxa"/>
      <w:tblCellMar>
        <w:top w:w="0" w:type="dxa"/>
        <w:left w:w="0" w:type="dxa"/>
        <w:bottom w:w="0" w:type="dxa"/>
        <w:right w:w="0" w:type="dxa"/>
      </w:tblCellMar>
    </w:tblPr>
  </w:style>
  <w:style w:type="paragraph" w:customStyle="1" w:styleId="a4">
    <w:name w:val="Текстовый блок"/>
    <w:rsid w:val="006F7F20"/>
    <w:rPr>
      <w:rFonts w:ascii="Helvetica" w:hAnsi="Helvetica" w:cs="Arial Unicode MS"/>
      <w:color w:val="000000"/>
      <w:sz w:val="22"/>
      <w:szCs w:val="22"/>
    </w:rPr>
  </w:style>
  <w:style w:type="paragraph" w:customStyle="1" w:styleId="2">
    <w:name w:val="Стиль таблицы 2"/>
    <w:rsid w:val="006F7F20"/>
    <w:rPr>
      <w:rFonts w:ascii="Helvetica" w:hAnsi="Helvetica" w:cs="Arial Unicode MS"/>
      <w:color w:val="000000"/>
    </w:rPr>
  </w:style>
  <w:style w:type="paragraph" w:styleId="a5">
    <w:name w:val="No Spacing"/>
    <w:rsid w:val="006F7F20"/>
    <w:rPr>
      <w:rFonts w:eastAsia="Times New Roman"/>
      <w:color w:val="000000"/>
      <w:sz w:val="24"/>
      <w:szCs w:val="24"/>
      <w:u w:color="000000"/>
    </w:rPr>
  </w:style>
  <w:style w:type="paragraph" w:styleId="a6">
    <w:name w:val="Normal (Web)"/>
    <w:rsid w:val="006F7F20"/>
    <w:pPr>
      <w:spacing w:after="130"/>
    </w:pPr>
    <w:rPr>
      <w:rFonts w:eastAsia="Times New Roman"/>
      <w:color w:val="000000"/>
      <w:sz w:val="24"/>
      <w:szCs w:val="24"/>
      <w:u w:color="000000"/>
    </w:rPr>
  </w:style>
  <w:style w:type="paragraph" w:styleId="a7">
    <w:name w:val="header"/>
    <w:basedOn w:val="a"/>
    <w:link w:val="a8"/>
    <w:unhideWhenUsed/>
    <w:rsid w:val="00B2783F"/>
    <w:pPr>
      <w:tabs>
        <w:tab w:val="center" w:pos="4677"/>
        <w:tab w:val="right" w:pos="9355"/>
      </w:tabs>
    </w:pPr>
  </w:style>
  <w:style w:type="character" w:customStyle="1" w:styleId="a8">
    <w:name w:val="Верхний колонтитул Знак"/>
    <w:basedOn w:val="a0"/>
    <w:link w:val="a7"/>
    <w:rsid w:val="00B2783F"/>
    <w:rPr>
      <w:rFonts w:ascii="Tahoma" w:hAnsi="Tahoma" w:cs="Arial Unicode MS"/>
      <w:color w:val="000000"/>
      <w:u w:color="000000"/>
    </w:rPr>
  </w:style>
  <w:style w:type="paragraph" w:styleId="a9">
    <w:name w:val="footer"/>
    <w:basedOn w:val="a"/>
    <w:link w:val="aa"/>
    <w:uiPriority w:val="99"/>
    <w:unhideWhenUsed/>
    <w:rsid w:val="00B2783F"/>
    <w:pPr>
      <w:tabs>
        <w:tab w:val="center" w:pos="4677"/>
        <w:tab w:val="right" w:pos="9355"/>
      </w:tabs>
    </w:pPr>
  </w:style>
  <w:style w:type="character" w:customStyle="1" w:styleId="aa">
    <w:name w:val="Нижний колонтитул Знак"/>
    <w:basedOn w:val="a0"/>
    <w:link w:val="a9"/>
    <w:uiPriority w:val="99"/>
    <w:rsid w:val="00B2783F"/>
    <w:rPr>
      <w:rFonts w:ascii="Tahoma" w:hAnsi="Tahoma" w:cs="Arial Unicode MS"/>
      <w:color w:val="000000"/>
      <w:u w:color="000000"/>
    </w:rPr>
  </w:style>
  <w:style w:type="paragraph" w:customStyle="1" w:styleId="-">
    <w:name w:val="РКС-верх"/>
    <w:basedOn w:val="a"/>
    <w:rsid w:val="00AF753D"/>
    <w:pPr>
      <w:pBdr>
        <w:top w:val="none" w:sz="0" w:space="0" w:color="auto"/>
        <w:left w:val="none" w:sz="0" w:space="0" w:color="auto"/>
        <w:bottom w:val="none" w:sz="0" w:space="0" w:color="auto"/>
        <w:right w:val="none" w:sz="0" w:space="0" w:color="auto"/>
        <w:between w:val="none" w:sz="0" w:space="0" w:color="auto"/>
        <w:bar w:val="none" w:sz="0" w:color="auto"/>
      </w:pBdr>
      <w:ind w:left="4423"/>
    </w:pPr>
    <w:rPr>
      <w:rFonts w:ascii="Arial" w:eastAsia="Times New Roman" w:hAnsi="Arial" w:cs="Times New Roman"/>
      <w:color w:val="auto"/>
      <w:sz w:val="16"/>
      <w:szCs w:val="24"/>
      <w:bdr w:val="none" w:sz="0" w:space="0" w:color="auto"/>
      <w:lang w:eastAsia="en-US"/>
    </w:rPr>
  </w:style>
  <w:style w:type="paragraph" w:customStyle="1" w:styleId="RKSStyle">
    <w:name w:val="RKS_Style"/>
    <w:basedOn w:val="a"/>
    <w:rsid w:val="008F066F"/>
    <w:pPr>
      <w:pBdr>
        <w:top w:val="none" w:sz="0" w:space="0" w:color="auto"/>
        <w:left w:val="none" w:sz="0" w:space="0" w:color="auto"/>
        <w:bottom w:val="none" w:sz="0" w:space="0" w:color="auto"/>
        <w:right w:val="none" w:sz="0" w:space="0" w:color="auto"/>
        <w:between w:val="none" w:sz="0" w:space="0" w:color="auto"/>
        <w:bar w:val="none" w:sz="0" w:color="auto"/>
      </w:pBdr>
      <w:ind w:left="1361"/>
    </w:pPr>
    <w:rPr>
      <w:rFonts w:ascii="Arial" w:eastAsia="Times New Roman" w:hAnsi="Arial" w:cs="Times New Roman"/>
      <w:color w:val="auto"/>
      <w:szCs w:val="24"/>
      <w:bdr w:val="none" w:sz="0" w:space="0" w:color="auto"/>
      <w:lang w:eastAsia="en-US"/>
    </w:rPr>
  </w:style>
  <w:style w:type="paragraph" w:customStyle="1" w:styleId="RKSTitle254127">
    <w:name w:val="Стиль RKS_Title + Слева:  254 см Первая строка:  127 см"/>
    <w:basedOn w:val="a"/>
    <w:rsid w:val="008F066F"/>
    <w:pPr>
      <w:pBdr>
        <w:top w:val="none" w:sz="0" w:space="0" w:color="auto"/>
        <w:left w:val="none" w:sz="0" w:space="0" w:color="auto"/>
        <w:bottom w:val="none" w:sz="0" w:space="0" w:color="auto"/>
        <w:right w:val="none" w:sz="0" w:space="0" w:color="auto"/>
        <w:between w:val="none" w:sz="0" w:space="0" w:color="auto"/>
        <w:bar w:val="none" w:sz="0" w:color="auto"/>
      </w:pBdr>
      <w:ind w:left="4423"/>
    </w:pPr>
    <w:rPr>
      <w:rFonts w:ascii="Arial" w:eastAsia="Times New Roman" w:hAnsi="Arial" w:cs="Times New Roman"/>
      <w:b/>
      <w:bCs/>
      <w:color w:val="auto"/>
      <w:sz w:val="24"/>
      <w:bdr w:val="none" w:sz="0" w:space="0" w:color="auto"/>
      <w:lang w:eastAsia="en-US"/>
    </w:rPr>
  </w:style>
  <w:style w:type="paragraph" w:styleId="ab">
    <w:name w:val="Balloon Text"/>
    <w:basedOn w:val="a"/>
    <w:link w:val="ac"/>
    <w:uiPriority w:val="99"/>
    <w:semiHidden/>
    <w:unhideWhenUsed/>
    <w:rsid w:val="004334B5"/>
    <w:rPr>
      <w:rFonts w:cs="Tahoma"/>
      <w:sz w:val="16"/>
      <w:szCs w:val="16"/>
    </w:rPr>
  </w:style>
  <w:style w:type="character" w:customStyle="1" w:styleId="ac">
    <w:name w:val="Текст выноски Знак"/>
    <w:basedOn w:val="a0"/>
    <w:link w:val="ab"/>
    <w:uiPriority w:val="99"/>
    <w:semiHidden/>
    <w:rsid w:val="004334B5"/>
    <w:rPr>
      <w:rFonts w:ascii="Tahoma" w:hAnsi="Tahoma" w:cs="Tahoma"/>
      <w:color w:val="000000"/>
      <w:sz w:val="16"/>
      <w:szCs w:val="16"/>
      <w:u w:color="000000"/>
    </w:rPr>
  </w:style>
  <w:style w:type="character" w:styleId="ad">
    <w:name w:val="Strong"/>
    <w:basedOn w:val="a0"/>
    <w:uiPriority w:val="22"/>
    <w:qFormat/>
    <w:rsid w:val="00CC2871"/>
    <w:rPr>
      <w:b/>
      <w:bCs/>
    </w:rPr>
  </w:style>
  <w:style w:type="character" w:customStyle="1" w:styleId="apple-converted-space">
    <w:name w:val="apple-converted-space"/>
    <w:basedOn w:val="a0"/>
    <w:rsid w:val="00CC2871"/>
  </w:style>
  <w:style w:type="paragraph" w:styleId="ae">
    <w:name w:val="List Paragraph"/>
    <w:basedOn w:val="a"/>
    <w:uiPriority w:val="34"/>
    <w:qFormat/>
    <w:rsid w:val="00926A53"/>
    <w:pPr>
      <w:ind w:left="720"/>
      <w:contextualSpacing/>
    </w:pPr>
  </w:style>
  <w:style w:type="table" w:styleId="af">
    <w:name w:val="Table Grid"/>
    <w:basedOn w:val="a1"/>
    <w:uiPriority w:val="59"/>
    <w:rsid w:val="005B694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1042037">
      <w:bodyDiv w:val="1"/>
      <w:marLeft w:val="0"/>
      <w:marRight w:val="0"/>
      <w:marTop w:val="0"/>
      <w:marBottom w:val="0"/>
      <w:divBdr>
        <w:top w:val="none" w:sz="0" w:space="0" w:color="auto"/>
        <w:left w:val="none" w:sz="0" w:space="0" w:color="auto"/>
        <w:bottom w:val="none" w:sz="0" w:space="0" w:color="auto"/>
        <w:right w:val="none" w:sz="0" w:space="0" w:color="auto"/>
      </w:divBdr>
    </w:div>
    <w:div w:id="322514477">
      <w:bodyDiv w:val="1"/>
      <w:marLeft w:val="0"/>
      <w:marRight w:val="0"/>
      <w:marTop w:val="0"/>
      <w:marBottom w:val="0"/>
      <w:divBdr>
        <w:top w:val="none" w:sz="0" w:space="0" w:color="auto"/>
        <w:left w:val="none" w:sz="0" w:space="0" w:color="auto"/>
        <w:bottom w:val="none" w:sz="0" w:space="0" w:color="auto"/>
        <w:right w:val="none" w:sz="0" w:space="0" w:color="auto"/>
      </w:divBdr>
    </w:div>
    <w:div w:id="879904750">
      <w:bodyDiv w:val="1"/>
      <w:marLeft w:val="0"/>
      <w:marRight w:val="0"/>
      <w:marTop w:val="0"/>
      <w:marBottom w:val="0"/>
      <w:divBdr>
        <w:top w:val="none" w:sz="0" w:space="0" w:color="auto"/>
        <w:left w:val="none" w:sz="0" w:space="0" w:color="auto"/>
        <w:bottom w:val="none" w:sz="0" w:space="0" w:color="auto"/>
        <w:right w:val="none" w:sz="0" w:space="0" w:color="auto"/>
      </w:divBdr>
    </w:div>
    <w:div w:id="1038435142">
      <w:bodyDiv w:val="1"/>
      <w:marLeft w:val="0"/>
      <w:marRight w:val="0"/>
      <w:marTop w:val="0"/>
      <w:marBottom w:val="0"/>
      <w:divBdr>
        <w:top w:val="none" w:sz="0" w:space="0" w:color="auto"/>
        <w:left w:val="none" w:sz="0" w:space="0" w:color="auto"/>
        <w:bottom w:val="none" w:sz="0" w:space="0" w:color="auto"/>
        <w:right w:val="none" w:sz="0" w:space="0" w:color="auto"/>
      </w:divBdr>
    </w:div>
    <w:div w:id="1384518265">
      <w:bodyDiv w:val="1"/>
      <w:marLeft w:val="0"/>
      <w:marRight w:val="0"/>
      <w:marTop w:val="0"/>
      <w:marBottom w:val="0"/>
      <w:divBdr>
        <w:top w:val="none" w:sz="0" w:space="0" w:color="auto"/>
        <w:left w:val="none" w:sz="0" w:space="0" w:color="auto"/>
        <w:bottom w:val="none" w:sz="0" w:space="0" w:color="auto"/>
        <w:right w:val="none" w:sz="0" w:space="0" w:color="auto"/>
      </w:divBdr>
    </w:div>
    <w:div w:id="2057661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45D2A2C97EDAC46688C17F3158CFEE97092AB2C5BB4983BD250F5A103DE63DF4E7856FE30DF4ED298DEDF552BE8F43E1DQD21L" TargetMode="External"/><Relationship Id="rId18" Type="http://schemas.openxmlformats.org/officeDocument/2006/relationships/hyperlink" Target="consultantplus://offline/ref=F45D2A2C97EDAC46688C17F3158CFEE97092AB2C5BB49437D556F5A103DE63DF4E7856FE30DF4ED298DEDF552BE8F43E1DQD21L" TargetMode="External"/><Relationship Id="rId26" Type="http://schemas.openxmlformats.org/officeDocument/2006/relationships/hyperlink" Target="consultantplus://offline/ref=F45D2A2C97EDAC46688C09FE03E0A0E37091F5285DB09B648F03F3F65C8E658A0E3850AB619B1BD89AD795046DA3FB3F1DCF8B5D50766029QC27L" TargetMode="External"/><Relationship Id="rId39" Type="http://schemas.openxmlformats.org/officeDocument/2006/relationships/hyperlink" Target="consultantplus://offline/ref=F45D2A2C97EDAC46688C09FE03E0A0E37091F5285DB09B648F03F3F65C8E658A0E3850AB619B1BD89CD795046DA3FB3F1DCF8B5D50766029QC27L" TargetMode="External"/><Relationship Id="rId3" Type="http://schemas.openxmlformats.org/officeDocument/2006/relationships/styles" Target="styles.xml"/><Relationship Id="rId21" Type="http://schemas.openxmlformats.org/officeDocument/2006/relationships/hyperlink" Target="consultantplus://offline/ref=F45D2A2C97EDAC46688C17F3158CFEE97092AB2C5BB3913AD55EF5A103DE63DF4E7856FE22DF16DE99DCC1552CFDA26F5B84865E4C6A6029D9A1462EQB2EL" TargetMode="External"/><Relationship Id="rId34" Type="http://schemas.openxmlformats.org/officeDocument/2006/relationships/hyperlink" Target="consultantplus://offline/ref=F45D2A2C97EDAC46688C09FE03E0A0E37091F5285DB09B648F03F3F65C8E658A0E3850AB619B1BD89CD795046DA3FB3F1DCF8B5D50766029QC27L" TargetMode="External"/><Relationship Id="rId42" Type="http://schemas.openxmlformats.org/officeDocument/2006/relationships/hyperlink" Target="consultantplus://offline/ref=F45D2A2C97EDAC46688C09FE03E0A0E37091F5285DB09B648F03F3F65C8E658A0E3850AB619B19D79FD795046DA3FB3F1DCF8B5D50766029QC27L" TargetMode="External"/><Relationship Id="rId47" Type="http://schemas.openxmlformats.org/officeDocument/2006/relationships/hyperlink" Target="consultantplus://offline/ref=F45D2A2C97EDAC46688C09FE03E0A0E37091F5285DB09B648F03F3F65C8E658A0E3850AB619B19DA99D795046DA3FB3F1DCF8B5D50766029QC27L"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F45D2A2C97EDAC46688C09FE03E0A0E37199F5255AB79B648F03F3F65C8E658A0E3850AB619B1BDE99D795046DA3FB3F1DCF8B5D50766029QC27L" TargetMode="External"/><Relationship Id="rId17" Type="http://schemas.openxmlformats.org/officeDocument/2006/relationships/hyperlink" Target="consultantplus://offline/ref=F45D2A2C97EDAC46688C17F3158CFEE97092AB2C5BB49335D255F5A103DE63DF4E7856FE30DF4ED298DEDF552BE8F43E1DQD21L" TargetMode="External"/><Relationship Id="rId25" Type="http://schemas.openxmlformats.org/officeDocument/2006/relationships/hyperlink" Target="consultantplus://offline/ref=F45D2A2C97EDAC46688C09FE03E0A0E37091F5285DB09B648F03F3F65C8E658A0E3850AB619B1BD89CD795046DA3FB3F1DCF8B5D50766029QC27L" TargetMode="External"/><Relationship Id="rId33" Type="http://schemas.openxmlformats.org/officeDocument/2006/relationships/hyperlink" Target="consultantplus://offline/ref=F45D2A2C97EDAC46688C09FE03E0A0E37091F5285DB09B648F03F3F65C8E658A0E3850AB619B1BD89CD795046DA3FB3F1DCF8B5D50766029QC27L" TargetMode="External"/><Relationship Id="rId38" Type="http://schemas.openxmlformats.org/officeDocument/2006/relationships/hyperlink" Target="consultantplus://offline/ref=F45D2A2C97EDAC46688C09FE03E0A0E37091F5285DB09B648F03F3F65C8E658A0E3850AB619B19D69DD795046DA3FB3F1DCF8B5D50766029QC27L" TargetMode="External"/><Relationship Id="rId46" Type="http://schemas.openxmlformats.org/officeDocument/2006/relationships/hyperlink" Target="consultantplus://offline/ref=F45D2A2C97EDAC46688C09FE03E0A0E37091F5285DB09B648F03F3F65C8E658A0E3850AB619B1BD69AD795046DA3FB3F1DCF8B5D50766029QC27L" TargetMode="External"/><Relationship Id="rId2" Type="http://schemas.openxmlformats.org/officeDocument/2006/relationships/numbering" Target="numbering.xml"/><Relationship Id="rId16" Type="http://schemas.openxmlformats.org/officeDocument/2006/relationships/hyperlink" Target="consultantplus://offline/ref=F45D2A2C97EDAC46688C17F3158CFEE97092AB2C5BB49237D452F5A103DE63DF4E7856FE30DF4ED298DEDF552BE8F43E1DQD21L" TargetMode="External"/><Relationship Id="rId20" Type="http://schemas.openxmlformats.org/officeDocument/2006/relationships/hyperlink" Target="consultantplus://offline/ref=F45D2A2C97EDAC46688C17F3158CFEE97092AB2C5BB4983ADA5EF5A103DE63DF4E7856FE30DF4ED298DEDF552BE8F43E1DQD21L" TargetMode="External"/><Relationship Id="rId29" Type="http://schemas.openxmlformats.org/officeDocument/2006/relationships/hyperlink" Target="consultantplus://offline/ref=F45D2A2C97EDAC46688C09FE03E0A0E37091F5285DB09B648F03F3F65C8E658A0E3850AB619B19DB99D795046DA3FB3F1DCF8B5D50766029QC27L" TargetMode="External"/><Relationship Id="rId41" Type="http://schemas.openxmlformats.org/officeDocument/2006/relationships/hyperlink" Target="consultantplus://offline/ref=F45D2A2C97EDAC46688C09FE03E0A0E37091F5285DB09B648F03F3F65C8E658A0E3850AB619B19DA99D795046DA3FB3F1DCF8B5D50766029QC27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45D2A2C97EDAC46688C09FE03E0A0E37091F5285DB09B648F03F3F65C8E658A0E3850AB619B1BDE9CD795046DA3FB3F1DCF8B5D50766029QC27L" TargetMode="External"/><Relationship Id="rId24" Type="http://schemas.openxmlformats.org/officeDocument/2006/relationships/hyperlink" Target="consultantplus://offline/ref=F45D2A2C97EDAC46688C09FE03E0A0E37091F5285DB09B648F03F3F65C8E658A0E3850AB619B1BD89AD795046DA3FB3F1DCF8B5D50766029QC27L" TargetMode="External"/><Relationship Id="rId32" Type="http://schemas.openxmlformats.org/officeDocument/2006/relationships/hyperlink" Target="consultantplus://offline/ref=F45D2A2C97EDAC46688C09FE03E0A0E37091F5285DB09B648F03F3F65C8E658A0E3850AB619B1BD89AD795046DA3FB3F1DCF8B5D50766029QC27L" TargetMode="External"/><Relationship Id="rId37" Type="http://schemas.openxmlformats.org/officeDocument/2006/relationships/hyperlink" Target="consultantplus://offline/ref=F45D2A2C97EDAC46688C09FE03E0A0E37091F5285DB09B648F03F3F65C8E658A0E3850AB619B19D79FD795046DA3FB3F1DCF8B5D50766029QC27L" TargetMode="External"/><Relationship Id="rId40" Type="http://schemas.openxmlformats.org/officeDocument/2006/relationships/hyperlink" Target="consultantplus://offline/ref=F45D2A2C97EDAC46688C09FE03E0A0E37091F5285DB09B648F03F3F65C8E658A0E3850AB619B1BD69AD795046DA3FB3F1DCF8B5D50766029QC27L" TargetMode="External"/><Relationship Id="rId45" Type="http://schemas.openxmlformats.org/officeDocument/2006/relationships/hyperlink" Target="consultantplus://offline/ref=F45D2A2C97EDAC46688C09FE03E0A0E3719DF72058B39B648F03F3F65C8E658A0E3850AC6093108BC898945828F4E83E1DCF895F4CQ724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45D2A2C97EDAC46688C17F3158CFEE97092AB2C5BB49533D65FF5A103DE63DF4E7856FE22DF16DE99DCC15428FDA26F5B84865E4C6A6029D9A1462EQB2EL" TargetMode="External"/><Relationship Id="rId23" Type="http://schemas.openxmlformats.org/officeDocument/2006/relationships/hyperlink" Target="consultantplus://offline/ref=F45D2A2C97EDAC46688C09FE03E0A0E37091F5285DB09B648F03F3F65C8E658A0E3850AB619B1BD89CD795046DA3FB3F1DCF8B5D50766029QC27L" TargetMode="External"/><Relationship Id="rId28" Type="http://schemas.openxmlformats.org/officeDocument/2006/relationships/hyperlink" Target="consultantplus://offline/ref=F45D2A2C97EDAC46688C09FE03E0A0E37091F5285DB09B648F03F3F65C8E658A0E3850AB619B1BD89CD795046DA3FB3F1DCF8B5D50766029QC27L" TargetMode="External"/><Relationship Id="rId36" Type="http://schemas.openxmlformats.org/officeDocument/2006/relationships/hyperlink" Target="consultantplus://offline/ref=F45D2A2C97EDAC46688C09FE03E0A0E37091F5285DB09B648F03F3F65C8E658A0E3850AB619B19DA99D795046DA3FB3F1DCF8B5D50766029QC27L" TargetMode="External"/><Relationship Id="rId49" Type="http://schemas.openxmlformats.org/officeDocument/2006/relationships/footer" Target="footer1.xml"/><Relationship Id="rId10" Type="http://schemas.openxmlformats.org/officeDocument/2006/relationships/hyperlink" Target="consultantplus://offline/ref=F45D2A2C97EDAC46688C09FE03E0A0E3719DF72058B39B648F03F3F65C8E658A1C3808A7609905DF9BC2C3552BQF26L" TargetMode="External"/><Relationship Id="rId19" Type="http://schemas.openxmlformats.org/officeDocument/2006/relationships/hyperlink" Target="consultantplus://offline/ref=F45D2A2C97EDAC46688C17F3158CFEE97092AB2C5BB49637D053F5A103DE63DF4E7856FE30DF4ED298DEDF552BE8F43E1DQD21L" TargetMode="External"/><Relationship Id="rId31" Type="http://schemas.openxmlformats.org/officeDocument/2006/relationships/hyperlink" Target="consultantplus://offline/ref=F45D2A2C97EDAC46688C09FE03E0A0E37091F5285DB09B648F03F3F65C8E658A0E3850AB619B19DA99D795046DA3FB3F1DCF8B5D50766029QC27L" TargetMode="External"/><Relationship Id="rId44" Type="http://schemas.openxmlformats.org/officeDocument/2006/relationships/hyperlink" Target="consultantplus://offline/ref=F45D2A2C97EDAC46688C09FE03E0A0E3719DF72058B39B648F03F3F65C8E658A0E3850AB619F1AD4CD8D850024F7F4201FD3955D4E76Q620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F45D2A2C97EDAC46688C09FE03E0A0E3719DF7215EB49B648F03F3F65C8E658A1C3808A7609905DF9BC2C3552BQF26L" TargetMode="External"/><Relationship Id="rId14" Type="http://schemas.openxmlformats.org/officeDocument/2006/relationships/hyperlink" Target="consultantplus://offline/ref=F45D2A2C97EDAC46688C17F3158CFEE97092AB2C5BB49533D650F5A103DE63DF4E7856FE30DF4ED298DEDF552BE8F43E1DQD21L" TargetMode="External"/><Relationship Id="rId22" Type="http://schemas.openxmlformats.org/officeDocument/2006/relationships/hyperlink" Target="consultantplus://offline/ref=F45D2A2C97EDAC46688C17F3158CFEE97092AB2C5BB3913AD55EF5A103DE63DF4E7856FE22DF16DE99DCC1552CFDA26F5B84865E4C6A6029D9A1462EQB2EL" TargetMode="External"/><Relationship Id="rId27" Type="http://schemas.openxmlformats.org/officeDocument/2006/relationships/hyperlink" Target="consultantplus://offline/ref=F45D2A2C97EDAC46688C09FE03E0A0E37091F5285DB09B648F03F3F65C8E658A0E3850AB619B1BD89CD795046DA3FB3F1DCF8B5D50766029QC27L" TargetMode="External"/><Relationship Id="rId30" Type="http://schemas.openxmlformats.org/officeDocument/2006/relationships/hyperlink" Target="consultantplus://offline/ref=F45D2A2C97EDAC46688C09FE03E0A0E37091F5285DB09B648F03F3F65C8E658A0E3850AB619B1BD69AD795046DA3FB3F1DCF8B5D50766029QC27L" TargetMode="External"/><Relationship Id="rId35" Type="http://schemas.openxmlformats.org/officeDocument/2006/relationships/hyperlink" Target="consultantplus://offline/ref=F45D2A2C97EDAC46688C09FE03E0A0E37091F5285DB09B648F03F3F65C8E658A0E3850AB619B1BD69AD795046DA3FB3F1DCF8B5D50766029QC27L" TargetMode="External"/><Relationship Id="rId43" Type="http://schemas.openxmlformats.org/officeDocument/2006/relationships/hyperlink" Target="consultantplus://offline/ref=F45D2A2C97EDAC46688C09FE03E0A0E37091F5285DB09B648F03F3F65C8E658A0E3850AB619B19D69DD795046DA3FB3F1DCF8B5D50766029QC27L" TargetMode="External"/><Relationship Id="rId48" Type="http://schemas.openxmlformats.org/officeDocument/2006/relationships/header" Target="header1.xml"/><Relationship Id="rId8" Type="http://schemas.openxmlformats.org/officeDocument/2006/relationships/hyperlink" Target="consultantplus://offline/ref=F45D2A2C97EDAC46688C17F3158CFEE97092AB2C5BB3913AD55EF5A103DE63DF4E7856FE22DF16DE99DCC1552CFDA26F5B84865E4C6A6029D9A1462EQB2EL" TargetMode="Externa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AE135-25CB-4F40-B6B2-6A49A9E79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6179</Words>
  <Characters>35224</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ОАО "РКС"</Company>
  <LinksUpToDate>false</LinksUpToDate>
  <CharactersWithSpaces>41321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Волобуев Игорь Андреевич</dc:creator>
  <cp:lastModifiedBy>123</cp:lastModifiedBy>
  <cp:revision>2</cp:revision>
  <cp:lastPrinted>2020-02-13T06:35:00Z</cp:lastPrinted>
  <dcterms:created xsi:type="dcterms:W3CDTF">2021-09-10T08:32:00Z</dcterms:created>
  <dcterms:modified xsi:type="dcterms:W3CDTF">2021-09-10T08:32:00Z</dcterms:modified>
</cp:coreProperties>
</file>